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29D0" w:rsidRDefault="001A29D0" w:rsidP="00827CAD">
      <w:pPr>
        <w:pStyle w:val="Heading1"/>
        <w:shd w:val="clear" w:color="auto" w:fill="FFFFFF"/>
        <w:spacing w:before="0" w:beforeAutospacing="0" w:after="0" w:afterAutospacing="0" w:line="750" w:lineRule="atLeast"/>
        <w:jc w:val="center"/>
        <w:rPr>
          <w:rFonts w:ascii="???è?ˉé?…é?‘" w:eastAsia="???è?ˉé?…é?‘"/>
          <w:color w:val="333333"/>
        </w:rPr>
      </w:pPr>
      <w:bookmarkStart w:id="0" w:name="_GoBack"/>
      <w:bookmarkEnd w:id="0"/>
      <w:r>
        <w:rPr>
          <w:rFonts w:ascii="???è?ˉé?…é?‘" w:eastAsia="???è?ˉé?…é?‘" w:hint="eastAsia"/>
          <w:color w:val="333333"/>
        </w:rPr>
        <w:t>泉州市人民政府办公室关于</w:t>
      </w:r>
    </w:p>
    <w:p w:rsidR="001A29D0" w:rsidRDefault="001A29D0" w:rsidP="00827CAD">
      <w:pPr>
        <w:pStyle w:val="Heading1"/>
        <w:shd w:val="clear" w:color="auto" w:fill="FFFFFF"/>
        <w:spacing w:before="0" w:beforeAutospacing="0" w:after="0" w:afterAutospacing="0" w:line="750" w:lineRule="atLeast"/>
        <w:jc w:val="center"/>
        <w:rPr>
          <w:rFonts w:ascii="???è?ˉé?…é?‘" w:eastAsia="???è?ˉé?…é?‘"/>
          <w:color w:val="333333"/>
        </w:rPr>
      </w:pPr>
      <w:r>
        <w:rPr>
          <w:rFonts w:ascii="???è?ˉé?…é?‘" w:eastAsia="???è?ˉé?…é?‘" w:hint="eastAsia"/>
          <w:color w:val="333333"/>
        </w:rPr>
        <w:t>加快发展保障性租赁住房的实施意见</w:t>
      </w:r>
    </w:p>
    <w:p w:rsidR="001A29D0" w:rsidRPr="00827CAD" w:rsidRDefault="001A29D0" w:rsidP="00827CAD">
      <w:pPr>
        <w:pStyle w:val="b-free-read-leaf"/>
        <w:shd w:val="clear" w:color="auto" w:fill="FFFFFF"/>
        <w:spacing w:before="270" w:beforeAutospacing="0" w:after="0" w:afterAutospacing="0"/>
        <w:jc w:val="center"/>
        <w:rPr>
          <w:rFonts w:ascii="simsun" w:hAnsi="simsun"/>
          <w:color w:val="333333"/>
        </w:rPr>
      </w:pPr>
      <w:r w:rsidRPr="00827CAD">
        <w:rPr>
          <w:rFonts w:ascii="simsun" w:hAnsi="simsun" w:hint="eastAsia"/>
          <w:color w:val="333333"/>
        </w:rPr>
        <w:t>泉政办规〔</w:t>
      </w:r>
      <w:r w:rsidRPr="00827CAD">
        <w:rPr>
          <w:rFonts w:ascii="simsun" w:hAnsi="simsun"/>
          <w:color w:val="333333"/>
        </w:rPr>
        <w:t>2022</w:t>
      </w:r>
      <w:r w:rsidRPr="00827CAD">
        <w:rPr>
          <w:rFonts w:ascii="simsun" w:hAnsi="simsun" w:hint="eastAsia"/>
          <w:color w:val="333333"/>
        </w:rPr>
        <w:t>〕</w:t>
      </w:r>
      <w:r w:rsidRPr="00827CAD">
        <w:rPr>
          <w:rFonts w:ascii="simsun" w:hAnsi="simsun"/>
          <w:color w:val="333333"/>
        </w:rPr>
        <w:t>4</w:t>
      </w:r>
      <w:r w:rsidRPr="00827CAD">
        <w:rPr>
          <w:rFonts w:ascii="simsun" w:hAnsi="simsun" w:hint="eastAsia"/>
          <w:color w:val="333333"/>
        </w:rPr>
        <w:t>号</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各县</w:t>
      </w:r>
      <w:r>
        <w:rPr>
          <w:rFonts w:ascii="simsun" w:hAnsi="simsun"/>
          <w:color w:val="333333"/>
        </w:rPr>
        <w:t>(</w:t>
      </w:r>
      <w:r>
        <w:rPr>
          <w:rFonts w:ascii="simsun" w:hAnsi="simsun" w:hint="eastAsia"/>
          <w:color w:val="333333"/>
        </w:rPr>
        <w:t>市、区</w:t>
      </w:r>
      <w:r>
        <w:rPr>
          <w:rFonts w:ascii="simsun" w:hAnsi="simsun"/>
          <w:color w:val="333333"/>
        </w:rPr>
        <w:t>)</w:t>
      </w:r>
      <w:r>
        <w:rPr>
          <w:rFonts w:ascii="simsun" w:hAnsi="simsun" w:hint="eastAsia"/>
          <w:color w:val="333333"/>
        </w:rPr>
        <w:t>人民政府，泉州开发区、泉州台商投资区管委会，市人民政府各部门、各直属机构，各大企业，各高等院校：</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为贯彻落实《国务院办公厅关于加快发展保障性租赁住房的意见》</w:t>
      </w:r>
      <w:r>
        <w:rPr>
          <w:rFonts w:ascii="simsun" w:hAnsi="simsun"/>
          <w:color w:val="333333"/>
        </w:rPr>
        <w:t>(</w:t>
      </w:r>
      <w:r>
        <w:rPr>
          <w:rFonts w:ascii="simsun" w:hAnsi="simsun" w:hint="eastAsia"/>
          <w:color w:val="333333"/>
        </w:rPr>
        <w:t>国办发〔</w:t>
      </w:r>
      <w:r>
        <w:rPr>
          <w:rFonts w:ascii="simsun" w:hAnsi="simsun"/>
          <w:color w:val="333333"/>
        </w:rPr>
        <w:t>2021</w:t>
      </w:r>
      <w:r>
        <w:rPr>
          <w:rFonts w:ascii="simsun" w:hAnsi="simsun" w:hint="eastAsia"/>
          <w:color w:val="333333"/>
        </w:rPr>
        <w:t>〕</w:t>
      </w:r>
      <w:r>
        <w:rPr>
          <w:rFonts w:ascii="simsun" w:hAnsi="simsun"/>
          <w:color w:val="333333"/>
        </w:rPr>
        <w:t xml:space="preserve">22 </w:t>
      </w:r>
      <w:r>
        <w:rPr>
          <w:rFonts w:ascii="simsun" w:hAnsi="simsun" w:hint="eastAsia"/>
          <w:color w:val="333333"/>
        </w:rPr>
        <w:t>号</w:t>
      </w:r>
      <w:r>
        <w:rPr>
          <w:rFonts w:ascii="simsun" w:hAnsi="simsun"/>
          <w:color w:val="333333"/>
        </w:rPr>
        <w:t>)</w:t>
      </w:r>
      <w:r>
        <w:rPr>
          <w:rFonts w:ascii="simsun" w:hAnsi="simsun" w:hint="eastAsia"/>
          <w:color w:val="333333"/>
        </w:rPr>
        <w:t>和《福建省住房和城乡建设厅印发〈关于加快发展保障性租赁住房的实施意见</w:t>
      </w:r>
      <w:r>
        <w:rPr>
          <w:rFonts w:ascii="simsun" w:hAnsi="simsun"/>
          <w:color w:val="333333"/>
        </w:rPr>
        <w:t>&gt;</w:t>
      </w:r>
      <w:r>
        <w:rPr>
          <w:rFonts w:ascii="simsun" w:hAnsi="simsun" w:hint="eastAsia"/>
          <w:color w:val="333333"/>
        </w:rPr>
        <w:t>的通知》</w:t>
      </w:r>
      <w:r>
        <w:rPr>
          <w:rFonts w:ascii="simsun" w:hAnsi="simsun"/>
          <w:color w:val="333333"/>
        </w:rPr>
        <w:t>(</w:t>
      </w:r>
      <w:r>
        <w:rPr>
          <w:rFonts w:ascii="simsun" w:hAnsi="simsun" w:hint="eastAsia"/>
          <w:color w:val="333333"/>
        </w:rPr>
        <w:t>闽建住〔</w:t>
      </w:r>
      <w:r>
        <w:rPr>
          <w:rFonts w:ascii="simsun" w:hAnsi="simsun"/>
          <w:color w:val="333333"/>
        </w:rPr>
        <w:t>2022</w:t>
      </w:r>
      <w:r>
        <w:rPr>
          <w:rFonts w:ascii="simsun" w:hAnsi="simsun" w:hint="eastAsia"/>
          <w:color w:val="333333"/>
        </w:rPr>
        <w:t>〕</w:t>
      </w:r>
      <w:r>
        <w:rPr>
          <w:rFonts w:ascii="simsun" w:hAnsi="simsun"/>
          <w:color w:val="333333"/>
        </w:rPr>
        <w:t xml:space="preserve">2 </w:t>
      </w:r>
      <w:r>
        <w:rPr>
          <w:rFonts w:ascii="simsun" w:hAnsi="simsun" w:hint="eastAsia"/>
          <w:color w:val="333333"/>
        </w:rPr>
        <w:t>号</w:t>
      </w:r>
      <w:r>
        <w:rPr>
          <w:rFonts w:ascii="simsun" w:hAnsi="simsun"/>
          <w:color w:val="333333"/>
        </w:rPr>
        <w:t>)</w:t>
      </w:r>
      <w:r>
        <w:rPr>
          <w:rFonts w:ascii="simsun" w:hAnsi="simsun" w:hint="eastAsia"/>
          <w:color w:val="333333"/>
        </w:rPr>
        <w:t>等文件精神，加快发展我市保障性租赁住房，经市政府研究同意，现结合实际提出如下实施意见：</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一、指导思想</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以习近平新时代中国特色社会主义思想为指导，坚持以人民为中心，解决居住困难和居住安全问题，多渠道增加保障性租赁</w:t>
      </w:r>
      <w:r>
        <w:rPr>
          <w:rFonts w:ascii="simsun" w:hAnsi="simsun"/>
          <w:color w:val="333333"/>
        </w:rPr>
        <w:t xml:space="preserve"> </w:t>
      </w:r>
      <w:r>
        <w:rPr>
          <w:rFonts w:ascii="simsun" w:hAnsi="simsun" w:hint="eastAsia"/>
          <w:color w:val="333333"/>
        </w:rPr>
        <w:t>住房</w:t>
      </w:r>
      <w:r>
        <w:rPr>
          <w:rFonts w:ascii="simsun" w:hAnsi="simsun"/>
          <w:color w:val="333333"/>
        </w:rPr>
        <w:t>(</w:t>
      </w:r>
      <w:r>
        <w:rPr>
          <w:rFonts w:ascii="simsun" w:hAnsi="simsun" w:hint="eastAsia"/>
          <w:color w:val="333333"/>
        </w:rPr>
        <w:t>以下简称</w:t>
      </w:r>
      <w:r>
        <w:rPr>
          <w:rFonts w:ascii="simsun" w:hAnsi="simsun"/>
          <w:color w:val="333333"/>
        </w:rPr>
        <w:t>“</w:t>
      </w:r>
      <w:r>
        <w:rPr>
          <w:rFonts w:ascii="simsun" w:hAnsi="simsun" w:hint="eastAsia"/>
          <w:color w:val="333333"/>
        </w:rPr>
        <w:t>保租房</w:t>
      </w:r>
      <w:r>
        <w:rPr>
          <w:rFonts w:ascii="simsun" w:hAnsi="simsun"/>
          <w:color w:val="333333"/>
        </w:rPr>
        <w:t>”)</w:t>
      </w:r>
      <w:r>
        <w:rPr>
          <w:rFonts w:ascii="simsun" w:hAnsi="simsun" w:hint="eastAsia"/>
          <w:color w:val="333333"/>
        </w:rPr>
        <w:t>供给，推动建立多主体供给、多渠道</w:t>
      </w:r>
      <w:r>
        <w:rPr>
          <w:rFonts w:ascii="simsun" w:hAnsi="simsun"/>
          <w:color w:val="333333"/>
        </w:rPr>
        <w:t xml:space="preserve"> </w:t>
      </w:r>
      <w:r>
        <w:rPr>
          <w:rFonts w:ascii="simsun" w:hAnsi="simsun" w:hint="eastAsia"/>
          <w:color w:val="333333"/>
        </w:rPr>
        <w:t>保障、租购并举的住房制度，加快构建以公租房、保租房和共有</w:t>
      </w:r>
      <w:r>
        <w:rPr>
          <w:rFonts w:ascii="simsun" w:hAnsi="simsun"/>
          <w:color w:val="333333"/>
        </w:rPr>
        <w:t xml:space="preserve"> </w:t>
      </w:r>
      <w:r>
        <w:rPr>
          <w:rFonts w:ascii="simsun" w:hAnsi="simsun" w:hint="eastAsia"/>
          <w:color w:val="333333"/>
        </w:rPr>
        <w:t>产权住房为主体的住房保障体系，推进以人为核心的新型城镇化</w:t>
      </w:r>
      <w:r>
        <w:rPr>
          <w:rFonts w:ascii="simsun" w:hAnsi="simsun"/>
          <w:color w:val="333333"/>
        </w:rPr>
        <w:t xml:space="preserve"> </w:t>
      </w:r>
      <w:r>
        <w:rPr>
          <w:rFonts w:ascii="simsun" w:hAnsi="simsun" w:hint="eastAsia"/>
          <w:color w:val="333333"/>
        </w:rPr>
        <w:t>建设，使新市民、青年人</w:t>
      </w:r>
      <w:r>
        <w:rPr>
          <w:rFonts w:ascii="simsun" w:hAnsi="simsun"/>
          <w:color w:val="333333"/>
        </w:rPr>
        <w:t>“</w:t>
      </w:r>
      <w:r>
        <w:rPr>
          <w:rFonts w:ascii="simsun" w:hAnsi="simsun" w:hint="eastAsia"/>
          <w:color w:val="333333"/>
        </w:rPr>
        <w:t>租得到、租得起、住得好、留得下</w:t>
      </w:r>
      <w:r>
        <w:rPr>
          <w:rFonts w:ascii="simsun" w:hAnsi="simsun"/>
          <w:color w:val="333333"/>
        </w:rPr>
        <w:t xml:space="preserve">”, </w:t>
      </w:r>
      <w:r>
        <w:rPr>
          <w:rFonts w:ascii="simsun" w:hAnsi="simsun" w:hint="eastAsia"/>
          <w:color w:val="333333"/>
        </w:rPr>
        <w:t>促进实现全民住有所居。</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二、目标任务</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按照</w:t>
      </w:r>
      <w:r>
        <w:rPr>
          <w:rFonts w:ascii="simsun" w:hAnsi="simsun"/>
          <w:color w:val="333333"/>
        </w:rPr>
        <w:t>“</w:t>
      </w:r>
      <w:r>
        <w:rPr>
          <w:rFonts w:ascii="simsun" w:hAnsi="simsun" w:hint="eastAsia"/>
          <w:color w:val="333333"/>
        </w:rPr>
        <w:t>合理布局、综合配套、优美舒适、安全方便</w:t>
      </w:r>
      <w:r>
        <w:rPr>
          <w:rFonts w:ascii="simsun" w:hAnsi="simsun"/>
          <w:color w:val="333333"/>
        </w:rPr>
        <w:t>”</w:t>
      </w:r>
      <w:r>
        <w:rPr>
          <w:rFonts w:ascii="simsun" w:hAnsi="simsun" w:hint="eastAsia"/>
          <w:color w:val="333333"/>
        </w:rPr>
        <w:t>的原则，多渠道增加保租房供给，不断增强人民群众的获得感、幸福感、安全感，助力人才、人口引进，促进本地经济健康发展，持续提升城市竞争力。</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w:t>
      </w:r>
      <w:r>
        <w:rPr>
          <w:rFonts w:ascii="simsun" w:hAnsi="simsun"/>
          <w:color w:val="333333"/>
        </w:rPr>
        <w:t>“</w:t>
      </w:r>
      <w:r>
        <w:rPr>
          <w:rFonts w:ascii="simsun" w:hAnsi="simsun" w:hint="eastAsia"/>
          <w:color w:val="333333"/>
        </w:rPr>
        <w:t>十四五</w:t>
      </w:r>
      <w:r>
        <w:rPr>
          <w:rFonts w:ascii="simsun" w:hAnsi="simsun"/>
          <w:color w:val="333333"/>
        </w:rPr>
        <w:t>”</w:t>
      </w:r>
      <w:r>
        <w:rPr>
          <w:rFonts w:ascii="simsun" w:hAnsi="simsun" w:hint="eastAsia"/>
          <w:color w:val="333333"/>
        </w:rPr>
        <w:t>期间，中心市区</w:t>
      </w:r>
      <w:r>
        <w:rPr>
          <w:rFonts w:ascii="simsun" w:hAnsi="simsun"/>
          <w:color w:val="333333"/>
        </w:rPr>
        <w:t>(</w:t>
      </w:r>
      <w:r>
        <w:rPr>
          <w:rFonts w:ascii="simsun" w:hAnsi="simsun" w:hint="eastAsia"/>
          <w:color w:val="333333"/>
        </w:rPr>
        <w:t>鲤城区、丰泽区、洛江区、泉州开发区、泉州台商投资区</w:t>
      </w:r>
      <w:r>
        <w:rPr>
          <w:rFonts w:ascii="simsun" w:hAnsi="simsun"/>
          <w:color w:val="333333"/>
        </w:rPr>
        <w:t>)</w:t>
      </w:r>
      <w:r>
        <w:rPr>
          <w:rFonts w:ascii="simsun" w:hAnsi="simsun" w:hint="eastAsia"/>
          <w:color w:val="333333"/>
        </w:rPr>
        <w:t>筹集建设保租房</w:t>
      </w:r>
      <w:r>
        <w:rPr>
          <w:rFonts w:ascii="simsun" w:hAnsi="simsun"/>
          <w:color w:val="333333"/>
        </w:rPr>
        <w:t>1.5</w:t>
      </w:r>
      <w:r>
        <w:rPr>
          <w:rFonts w:ascii="simsun" w:hAnsi="simsun" w:hint="eastAsia"/>
          <w:color w:val="333333"/>
        </w:rPr>
        <w:t>万套</w:t>
      </w:r>
      <w:r>
        <w:rPr>
          <w:rFonts w:ascii="simsun" w:hAnsi="simsun"/>
          <w:color w:val="333333"/>
        </w:rPr>
        <w:t>(</w:t>
      </w:r>
      <w:r>
        <w:rPr>
          <w:rFonts w:ascii="simsun" w:hAnsi="simsun" w:hint="eastAsia"/>
          <w:color w:val="333333"/>
        </w:rPr>
        <w:t>间</w:t>
      </w:r>
      <w:r>
        <w:rPr>
          <w:rFonts w:ascii="simsun" w:hAnsi="simsun"/>
          <w:color w:val="333333"/>
        </w:rPr>
        <w:t>)</w:t>
      </w:r>
      <w:r>
        <w:rPr>
          <w:rFonts w:ascii="simsun" w:hAnsi="simsun" w:hint="eastAsia"/>
          <w:color w:val="333333"/>
        </w:rPr>
        <w:t>以上，</w:t>
      </w:r>
      <w:r>
        <w:rPr>
          <w:rFonts w:ascii="simsun" w:hAnsi="simsun"/>
          <w:color w:val="333333"/>
        </w:rPr>
        <w:t xml:space="preserve"> </w:t>
      </w:r>
      <w:r>
        <w:rPr>
          <w:rFonts w:ascii="simsun" w:hAnsi="simsun" w:hint="eastAsia"/>
          <w:color w:val="333333"/>
        </w:rPr>
        <w:t>新增保租房套数占新增住房供应总套数的比例力争达到</w:t>
      </w:r>
      <w:r>
        <w:rPr>
          <w:rFonts w:ascii="simsun" w:hAnsi="simsun"/>
          <w:color w:val="333333"/>
        </w:rPr>
        <w:t>15%,</w:t>
      </w:r>
      <w:r>
        <w:rPr>
          <w:rFonts w:ascii="simsun" w:hAnsi="simsun" w:hint="eastAsia"/>
          <w:color w:val="333333"/>
        </w:rPr>
        <w:t>逐</w:t>
      </w:r>
      <w:r>
        <w:rPr>
          <w:rFonts w:ascii="simsun" w:hAnsi="simsun"/>
          <w:color w:val="333333"/>
        </w:rPr>
        <w:t xml:space="preserve"> </w:t>
      </w:r>
      <w:r>
        <w:rPr>
          <w:rFonts w:ascii="simsun" w:hAnsi="simsun" w:hint="eastAsia"/>
          <w:color w:val="333333"/>
        </w:rPr>
        <w:t>步解决租赁住房存量需求。</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三、支持政策</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w:t>
      </w:r>
      <w:r>
        <w:rPr>
          <w:rFonts w:ascii="simsun" w:hAnsi="simsun"/>
          <w:color w:val="333333"/>
        </w:rPr>
        <w:t>(</w:t>
      </w:r>
      <w:r>
        <w:rPr>
          <w:rFonts w:ascii="simsun" w:hAnsi="simsun" w:hint="eastAsia"/>
          <w:color w:val="333333"/>
        </w:rPr>
        <w:t>一</w:t>
      </w:r>
      <w:r>
        <w:rPr>
          <w:rFonts w:ascii="simsun" w:hAnsi="simsun"/>
          <w:color w:val="333333"/>
        </w:rPr>
        <w:t>)</w:t>
      </w:r>
      <w:r>
        <w:rPr>
          <w:rFonts w:ascii="simsun" w:hAnsi="simsun" w:hint="eastAsia"/>
          <w:color w:val="333333"/>
        </w:rPr>
        <w:t>落实土地支持政策</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w:t>
      </w:r>
      <w:r>
        <w:rPr>
          <w:rFonts w:ascii="simsun" w:hAnsi="simsun"/>
          <w:color w:val="333333"/>
        </w:rPr>
        <w:t>1.</w:t>
      </w:r>
      <w:r>
        <w:rPr>
          <w:rFonts w:ascii="simsun" w:hAnsi="simsun" w:hint="eastAsia"/>
          <w:color w:val="333333"/>
        </w:rPr>
        <w:t>利用新供应国有建设用地集中建设。资源规划部门在编制年度商品住宅用地供应计划时，按</w:t>
      </w:r>
      <w:r>
        <w:rPr>
          <w:rFonts w:ascii="simsun" w:hAnsi="simsun"/>
          <w:color w:val="333333"/>
        </w:rPr>
        <w:t>“</w:t>
      </w:r>
      <w:r>
        <w:rPr>
          <w:rFonts w:ascii="simsun" w:hAnsi="simsun" w:hint="eastAsia"/>
          <w:color w:val="333333"/>
        </w:rPr>
        <w:t>优先安排、应保尽保、布局合理</w:t>
      </w:r>
      <w:r>
        <w:rPr>
          <w:rFonts w:ascii="simsun" w:hAnsi="simsun"/>
          <w:color w:val="333333"/>
        </w:rPr>
        <w:t>”</w:t>
      </w:r>
      <w:r>
        <w:rPr>
          <w:rFonts w:ascii="simsun" w:hAnsi="simsun" w:hint="eastAsia"/>
          <w:color w:val="333333"/>
        </w:rPr>
        <w:t>单列租赁住房用地计划，力争按年度新商品住宅用地供应计划供地面积的</w:t>
      </w:r>
      <w:r>
        <w:rPr>
          <w:rFonts w:ascii="simsun" w:hAnsi="simsun"/>
          <w:color w:val="333333"/>
        </w:rPr>
        <w:t>5%</w:t>
      </w:r>
      <w:r>
        <w:rPr>
          <w:rFonts w:ascii="simsun" w:hAnsi="simsun" w:hint="eastAsia"/>
          <w:color w:val="333333"/>
        </w:rPr>
        <w:t>以上单列保租房用地集中建设保租房，或在年度新供应商品住宅用地中规划合适地块按供地面积的</w:t>
      </w:r>
      <w:r>
        <w:rPr>
          <w:rFonts w:ascii="simsun" w:hAnsi="simsun"/>
          <w:color w:val="333333"/>
        </w:rPr>
        <w:t>10%</w:t>
      </w:r>
      <w:r>
        <w:rPr>
          <w:rFonts w:ascii="simsun" w:hAnsi="simsun" w:hint="eastAsia"/>
          <w:color w:val="333333"/>
        </w:rPr>
        <w:t>配建独立成栋、成小区保租房。</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w:t>
      </w:r>
      <w:r>
        <w:rPr>
          <w:rFonts w:ascii="simsun" w:hAnsi="simsun"/>
          <w:color w:val="333333"/>
        </w:rPr>
        <w:t>2.</w:t>
      </w:r>
      <w:r>
        <w:rPr>
          <w:rFonts w:ascii="simsun" w:hAnsi="simsun" w:hint="eastAsia"/>
          <w:color w:val="333333"/>
        </w:rPr>
        <w:t>利用产业园区配套用地集中建设。产业园区中工业项目配建行政办公及生活配套服务设施的用地面积占比上限由</w:t>
      </w:r>
      <w:r>
        <w:rPr>
          <w:rFonts w:ascii="simsun" w:hAnsi="simsun"/>
          <w:color w:val="333333"/>
        </w:rPr>
        <w:t>7%</w:t>
      </w:r>
      <w:r>
        <w:rPr>
          <w:rFonts w:ascii="simsun" w:hAnsi="simsun" w:hint="eastAsia"/>
          <w:color w:val="333333"/>
        </w:rPr>
        <w:t>提高到</w:t>
      </w:r>
      <w:r>
        <w:rPr>
          <w:rFonts w:ascii="simsun" w:hAnsi="simsun"/>
          <w:color w:val="333333"/>
        </w:rPr>
        <w:t>15%,</w:t>
      </w:r>
      <w:r>
        <w:rPr>
          <w:rFonts w:ascii="simsun" w:hAnsi="simsun" w:hint="eastAsia"/>
          <w:color w:val="333333"/>
        </w:rPr>
        <w:t>建筑面积占比上限提高到</w:t>
      </w:r>
      <w:r>
        <w:rPr>
          <w:rFonts w:ascii="simsun" w:hAnsi="simsun"/>
          <w:color w:val="333333"/>
        </w:rPr>
        <w:t>30%,</w:t>
      </w:r>
      <w:r>
        <w:rPr>
          <w:rFonts w:ascii="simsun" w:hAnsi="simsun" w:hint="eastAsia"/>
          <w:color w:val="333333"/>
        </w:rPr>
        <w:t>提高的部分主要用于建设宿舍型保租房，严禁建设成套商品住宅。其中单一生产功能的产业集聚区可按《福建省人民政府办公厅关于强化规划引领和用地支撑促进城市建设品质提升的通知》</w:t>
      </w:r>
      <w:r>
        <w:rPr>
          <w:rFonts w:ascii="simsun" w:hAnsi="simsun"/>
          <w:color w:val="333333"/>
        </w:rPr>
        <w:t>(</w:t>
      </w:r>
      <w:r>
        <w:rPr>
          <w:rFonts w:ascii="simsun" w:hAnsi="simsun" w:hint="eastAsia"/>
          <w:color w:val="333333"/>
        </w:rPr>
        <w:t>闽政办〔</w:t>
      </w:r>
      <w:r>
        <w:rPr>
          <w:rFonts w:ascii="simsun" w:hAnsi="simsun"/>
          <w:color w:val="333333"/>
        </w:rPr>
        <w:t>2022</w:t>
      </w:r>
      <w:r>
        <w:rPr>
          <w:rFonts w:ascii="simsun" w:hAnsi="simsun" w:hint="eastAsia"/>
          <w:color w:val="333333"/>
        </w:rPr>
        <w:t>〕</w:t>
      </w:r>
      <w:r>
        <w:rPr>
          <w:rFonts w:ascii="simsun" w:hAnsi="simsun"/>
          <w:color w:val="333333"/>
        </w:rPr>
        <w:t>5</w:t>
      </w:r>
      <w:r>
        <w:rPr>
          <w:rFonts w:ascii="simsun" w:hAnsi="simsun" w:hint="eastAsia"/>
          <w:color w:val="333333"/>
        </w:rPr>
        <w:t>号</w:t>
      </w:r>
      <w:r>
        <w:rPr>
          <w:rFonts w:ascii="simsun" w:hAnsi="simsun"/>
          <w:color w:val="333333"/>
        </w:rPr>
        <w:t>)</w:t>
      </w:r>
      <w:r>
        <w:rPr>
          <w:rFonts w:ascii="simsun" w:hAnsi="simsun" w:hint="eastAsia"/>
          <w:color w:val="333333"/>
        </w:rPr>
        <w:t>规定，将园区统一建设的公共生活服务设施用地面积占项目总用地面积比例提高到</w:t>
      </w:r>
      <w:r>
        <w:rPr>
          <w:rFonts w:ascii="simsun" w:hAnsi="simsun"/>
          <w:color w:val="333333"/>
        </w:rPr>
        <w:t>30%</w:t>
      </w:r>
      <w:r>
        <w:rPr>
          <w:rFonts w:ascii="simsun" w:hAnsi="simsun" w:hint="eastAsia"/>
          <w:color w:val="333333"/>
        </w:rPr>
        <w:t>。</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在工业</w:t>
      </w:r>
      <w:r>
        <w:rPr>
          <w:rFonts w:ascii="simsun" w:hAnsi="simsun"/>
          <w:color w:val="333333"/>
        </w:rPr>
        <w:t>(</w:t>
      </w:r>
      <w:r>
        <w:rPr>
          <w:rFonts w:ascii="simsun" w:hAnsi="simsun" w:hint="eastAsia"/>
          <w:color w:val="333333"/>
        </w:rPr>
        <w:t>产业</w:t>
      </w:r>
      <w:r>
        <w:rPr>
          <w:rFonts w:ascii="simsun" w:hAnsi="simsun"/>
          <w:color w:val="333333"/>
        </w:rPr>
        <w:t>)</w:t>
      </w:r>
      <w:r>
        <w:rPr>
          <w:rFonts w:ascii="simsun" w:hAnsi="simsun" w:hint="eastAsia"/>
          <w:color w:val="333333"/>
        </w:rPr>
        <w:t>园区标准化建设中，属地县级政府要统筹园区企业需求，在园区配套用地内统一规划、集中建设运营宿舍型保租房，着力解决产业工人的住房困难问题。工业</w:t>
      </w:r>
      <w:r>
        <w:rPr>
          <w:rFonts w:ascii="simsun" w:hAnsi="simsun"/>
          <w:color w:val="333333"/>
        </w:rPr>
        <w:t>(</w:t>
      </w:r>
      <w:r>
        <w:rPr>
          <w:rFonts w:ascii="simsun" w:hAnsi="simsun" w:hint="eastAsia"/>
          <w:color w:val="333333"/>
        </w:rPr>
        <w:t>产业</w:t>
      </w:r>
      <w:r>
        <w:rPr>
          <w:rFonts w:ascii="simsun" w:hAnsi="simsun"/>
          <w:color w:val="333333"/>
        </w:rPr>
        <w:t>)</w:t>
      </w:r>
      <w:r>
        <w:rPr>
          <w:rFonts w:ascii="simsun" w:hAnsi="simsun" w:hint="eastAsia"/>
          <w:color w:val="333333"/>
        </w:rPr>
        <w:t>园区应在配套用地中划出独立地块统一规划建设宿舍型保租房，用地面积</w:t>
      </w:r>
      <w:r>
        <w:rPr>
          <w:rFonts w:ascii="simsun" w:hAnsi="simsun"/>
          <w:color w:val="333333"/>
        </w:rPr>
        <w:t xml:space="preserve">20 </w:t>
      </w:r>
      <w:r>
        <w:rPr>
          <w:rFonts w:ascii="simsun" w:hAnsi="simsun" w:hint="eastAsia"/>
          <w:color w:val="333333"/>
        </w:rPr>
        <w:t>亩以下的单个工业项目不再审批规划员工宿舍等生活服务设施。</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w:t>
      </w:r>
      <w:r>
        <w:rPr>
          <w:rFonts w:ascii="simsun" w:hAnsi="simsun"/>
          <w:color w:val="333333"/>
        </w:rPr>
        <w:t>3.</w:t>
      </w:r>
      <w:r>
        <w:rPr>
          <w:rFonts w:ascii="simsun" w:hAnsi="simsun" w:hint="eastAsia"/>
          <w:color w:val="333333"/>
        </w:rPr>
        <w:t>利用企事业单位自有闲置土地建设。企事业单位依法取得使用权的土地，在符合规划、权属不变、满足安全要求的前提下，允许用于建设保租房，并变更土地使用性质，不补缴土地价款，原划拨的土地可继续保留划拨方式。</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w:t>
      </w:r>
      <w:r>
        <w:rPr>
          <w:rFonts w:ascii="simsun" w:hAnsi="simsun"/>
          <w:color w:val="333333"/>
        </w:rPr>
        <w:t>4.</w:t>
      </w:r>
      <w:r>
        <w:rPr>
          <w:rFonts w:ascii="simsun" w:hAnsi="simsun" w:hint="eastAsia"/>
          <w:color w:val="333333"/>
        </w:rPr>
        <w:t>利用存量非居住房屋改造建设。在符合规划原则、权属不变、满足安全要求、尊重群众意愿的前提下，允许将闲置和低效利用的商业办公、旅馆、厂房、仓储、科研教育等非居住存量房屋改建</w:t>
      </w:r>
      <w:r>
        <w:rPr>
          <w:rFonts w:ascii="simsun" w:hAnsi="simsun"/>
          <w:color w:val="333333"/>
        </w:rPr>
        <w:t>(</w:t>
      </w:r>
      <w:r>
        <w:rPr>
          <w:rFonts w:ascii="simsun" w:hAnsi="simsun" w:hint="eastAsia"/>
          <w:color w:val="333333"/>
        </w:rPr>
        <w:t>改造</w:t>
      </w:r>
      <w:r>
        <w:rPr>
          <w:rFonts w:ascii="simsun" w:hAnsi="simsun"/>
          <w:color w:val="333333"/>
        </w:rPr>
        <w:t>)</w:t>
      </w:r>
      <w:r>
        <w:rPr>
          <w:rFonts w:ascii="simsun" w:hAnsi="simsun" w:hint="eastAsia"/>
          <w:color w:val="333333"/>
        </w:rPr>
        <w:t>为保租房，不变更土地使用性质，不补缴土地价款，改造规模原则上不少于</w:t>
      </w:r>
      <w:r>
        <w:rPr>
          <w:rFonts w:ascii="simsun" w:hAnsi="simsun"/>
          <w:color w:val="333333"/>
        </w:rPr>
        <w:t>100</w:t>
      </w:r>
      <w:r>
        <w:rPr>
          <w:rFonts w:ascii="simsun" w:hAnsi="simsun" w:hint="eastAsia"/>
          <w:color w:val="333333"/>
        </w:rPr>
        <w:t>套</w:t>
      </w:r>
      <w:r>
        <w:rPr>
          <w:rFonts w:ascii="simsun" w:hAnsi="simsun"/>
          <w:color w:val="333333"/>
        </w:rPr>
        <w:t>(</w:t>
      </w:r>
      <w:r>
        <w:rPr>
          <w:rFonts w:ascii="simsun" w:hAnsi="simsun" w:hint="eastAsia"/>
          <w:color w:val="333333"/>
        </w:rPr>
        <w:t>间</w:t>
      </w:r>
      <w:r>
        <w:rPr>
          <w:rFonts w:ascii="simsun" w:hAnsi="simsun"/>
          <w:color w:val="333333"/>
        </w:rPr>
        <w:t>)</w:t>
      </w:r>
      <w:r>
        <w:rPr>
          <w:rFonts w:ascii="simsun" w:hAnsi="simsun" w:hint="eastAsia"/>
          <w:color w:val="333333"/>
        </w:rPr>
        <w:t>或项目总建筑面积不少于</w:t>
      </w:r>
      <w:r>
        <w:rPr>
          <w:rFonts w:ascii="simsun" w:hAnsi="simsun"/>
          <w:color w:val="333333"/>
        </w:rPr>
        <w:t>5000</w:t>
      </w:r>
      <w:r>
        <w:rPr>
          <w:rFonts w:ascii="simsun" w:hAnsi="simsun" w:hint="eastAsia"/>
          <w:color w:val="333333"/>
        </w:rPr>
        <w:t>平方米。土地性质为三类工业用地或三类物流仓储用地的非居住存量房屋，不得改建</w:t>
      </w:r>
      <w:r>
        <w:rPr>
          <w:rFonts w:ascii="simsun" w:hAnsi="simsun"/>
          <w:color w:val="333333"/>
        </w:rPr>
        <w:t>(</w:t>
      </w:r>
      <w:r>
        <w:rPr>
          <w:rFonts w:ascii="simsun" w:hAnsi="simsun" w:hint="eastAsia"/>
          <w:color w:val="333333"/>
        </w:rPr>
        <w:t>改造</w:t>
      </w:r>
      <w:r>
        <w:rPr>
          <w:rFonts w:ascii="simsun" w:hAnsi="simsun"/>
          <w:color w:val="333333"/>
        </w:rPr>
        <w:t>)</w:t>
      </w:r>
      <w:r>
        <w:rPr>
          <w:rFonts w:ascii="simsun" w:hAnsi="simsun" w:hint="eastAsia"/>
          <w:color w:val="333333"/>
        </w:rPr>
        <w:t>为保租房。</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w:t>
      </w:r>
      <w:r>
        <w:rPr>
          <w:rFonts w:ascii="simsun" w:hAnsi="simsun"/>
          <w:color w:val="333333"/>
        </w:rPr>
        <w:t>5.</w:t>
      </w:r>
      <w:r>
        <w:rPr>
          <w:rFonts w:ascii="simsun" w:hAnsi="simsun" w:hint="eastAsia"/>
          <w:color w:val="333333"/>
        </w:rPr>
        <w:t>利用集体经营性用地建设。探索利用集体经营性建设用地建设保租房；支持利用城中村、工业聚集区和产业园区周边、交通便利区域的集体经营性建设用地建设保租房；农村集体经济组织可通过自建或联营、入股等方式建设运营保租房；建设保租房的集体经营性建设用地使用权可以办理抵押贷款。</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w:t>
      </w:r>
      <w:r>
        <w:rPr>
          <w:rFonts w:ascii="simsun" w:hAnsi="simsun"/>
          <w:color w:val="333333"/>
        </w:rPr>
        <w:t>(</w:t>
      </w:r>
      <w:r>
        <w:rPr>
          <w:rFonts w:ascii="simsun" w:hAnsi="simsun" w:hint="eastAsia"/>
          <w:color w:val="333333"/>
        </w:rPr>
        <w:t>二</w:t>
      </w:r>
      <w:r>
        <w:rPr>
          <w:rFonts w:ascii="simsun" w:hAnsi="simsun"/>
          <w:color w:val="333333"/>
        </w:rPr>
        <w:t>)</w:t>
      </w:r>
      <w:r>
        <w:rPr>
          <w:rFonts w:ascii="simsun" w:hAnsi="simsun" w:hint="eastAsia"/>
          <w:color w:val="333333"/>
        </w:rPr>
        <w:t>落实财税支持政策</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列入年度目标任务或年度建设计划的保租房项目可获得中央及省级专项补助资金；符合《国家发改委关于城市燃气管道等老化更新改造和保障性安居工程中央预算内投资专项管理暂行办法的通知》</w:t>
      </w:r>
      <w:r>
        <w:rPr>
          <w:rFonts w:ascii="simsun" w:hAnsi="simsun"/>
          <w:color w:val="333333"/>
        </w:rPr>
        <w:t>(</w:t>
      </w:r>
      <w:r>
        <w:rPr>
          <w:rFonts w:ascii="simsun" w:hAnsi="simsun" w:hint="eastAsia"/>
          <w:color w:val="333333"/>
        </w:rPr>
        <w:t>发改投资规〔</w:t>
      </w:r>
      <w:r>
        <w:rPr>
          <w:rFonts w:ascii="simsun" w:hAnsi="simsun"/>
          <w:color w:val="333333"/>
        </w:rPr>
        <w:t>2022</w:t>
      </w:r>
      <w:r>
        <w:rPr>
          <w:rFonts w:ascii="simsun" w:hAnsi="simsun" w:hint="eastAsia"/>
          <w:color w:val="333333"/>
        </w:rPr>
        <w:t>〕</w:t>
      </w:r>
      <w:r>
        <w:rPr>
          <w:rFonts w:ascii="simsun" w:hAnsi="simsun"/>
          <w:color w:val="333333"/>
        </w:rPr>
        <w:t>910</w:t>
      </w:r>
      <w:r>
        <w:rPr>
          <w:rFonts w:ascii="simsun" w:hAnsi="simsun" w:hint="eastAsia"/>
          <w:color w:val="333333"/>
        </w:rPr>
        <w:t>号</w:t>
      </w:r>
      <w:r>
        <w:rPr>
          <w:rFonts w:ascii="simsun" w:hAnsi="simsun"/>
          <w:color w:val="333333"/>
        </w:rPr>
        <w:t>)</w:t>
      </w:r>
      <w:r>
        <w:rPr>
          <w:rFonts w:ascii="simsun" w:hAnsi="simsun" w:hint="eastAsia"/>
          <w:color w:val="333333"/>
        </w:rPr>
        <w:t>规定的，可申报中央预算内投资资金补助</w:t>
      </w:r>
      <w:r>
        <w:rPr>
          <w:rFonts w:ascii="simsun" w:hAnsi="simsun"/>
          <w:color w:val="333333"/>
        </w:rPr>
        <w:t>;</w:t>
      </w:r>
      <w:r>
        <w:rPr>
          <w:rFonts w:ascii="simsun" w:hAnsi="simsun" w:hint="eastAsia"/>
          <w:color w:val="333333"/>
        </w:rPr>
        <w:t>可申报发行政府专项债券；享受《财政部税务总局住房城乡建设部关于完善住房租赁有关税收政策的公告》</w:t>
      </w:r>
      <w:r>
        <w:rPr>
          <w:rFonts w:ascii="simsun" w:hAnsi="simsun"/>
          <w:color w:val="333333"/>
        </w:rPr>
        <w:t>(2021</w:t>
      </w:r>
      <w:r>
        <w:rPr>
          <w:rFonts w:ascii="simsun" w:hAnsi="simsun" w:hint="eastAsia"/>
          <w:color w:val="333333"/>
        </w:rPr>
        <w:t>年第</w:t>
      </w:r>
      <w:r>
        <w:rPr>
          <w:rFonts w:ascii="simsun" w:hAnsi="simsun"/>
          <w:color w:val="333333"/>
        </w:rPr>
        <w:t>24</w:t>
      </w:r>
      <w:r>
        <w:rPr>
          <w:rFonts w:ascii="simsun" w:hAnsi="simsun" w:hint="eastAsia"/>
          <w:color w:val="333333"/>
        </w:rPr>
        <w:t>号</w:t>
      </w:r>
      <w:r>
        <w:rPr>
          <w:rFonts w:ascii="simsun" w:hAnsi="simsun"/>
          <w:color w:val="333333"/>
        </w:rPr>
        <w:t>)</w:t>
      </w:r>
      <w:r>
        <w:rPr>
          <w:rFonts w:ascii="simsun" w:hAnsi="simsun" w:hint="eastAsia"/>
          <w:color w:val="333333"/>
        </w:rPr>
        <w:t>规定的税收优惠政策</w:t>
      </w:r>
      <w:r>
        <w:rPr>
          <w:rFonts w:ascii="simsun" w:hAnsi="simsun"/>
          <w:color w:val="333333"/>
        </w:rPr>
        <w:t>;</w:t>
      </w:r>
      <w:r>
        <w:rPr>
          <w:rFonts w:ascii="simsun" w:hAnsi="simsun" w:hint="eastAsia"/>
          <w:color w:val="333333"/>
        </w:rPr>
        <w:t>免收城市基础设施配套费</w:t>
      </w:r>
      <w:r>
        <w:rPr>
          <w:rFonts w:ascii="simsun" w:hAnsi="simsun"/>
          <w:color w:val="333333"/>
        </w:rPr>
        <w:t>;</w:t>
      </w:r>
      <w:r>
        <w:rPr>
          <w:rFonts w:ascii="simsun" w:hAnsi="simsun" w:hint="eastAsia"/>
          <w:color w:val="333333"/>
        </w:rPr>
        <w:t>利用存量房屋改建</w:t>
      </w:r>
      <w:r>
        <w:rPr>
          <w:rFonts w:ascii="simsun" w:hAnsi="simsun"/>
          <w:color w:val="333333"/>
        </w:rPr>
        <w:t>(</w:t>
      </w:r>
      <w:r>
        <w:rPr>
          <w:rFonts w:ascii="simsun" w:hAnsi="simsun" w:hint="eastAsia"/>
          <w:color w:val="333333"/>
        </w:rPr>
        <w:t>改造</w:t>
      </w:r>
      <w:r>
        <w:rPr>
          <w:rFonts w:ascii="simsun" w:hAnsi="simsun"/>
          <w:color w:val="333333"/>
        </w:rPr>
        <w:t>)</w:t>
      </w:r>
      <w:r>
        <w:rPr>
          <w:rFonts w:ascii="simsun" w:hAnsi="simsun" w:hint="eastAsia"/>
          <w:color w:val="333333"/>
        </w:rPr>
        <w:t>的保租房项目用水、用电、用气价格按照居民用水、用电、用气价格标准执行。</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w:t>
      </w:r>
      <w:r>
        <w:rPr>
          <w:rFonts w:ascii="simsun" w:hAnsi="simsun"/>
          <w:color w:val="333333"/>
        </w:rPr>
        <w:t>(</w:t>
      </w:r>
      <w:r>
        <w:rPr>
          <w:rFonts w:ascii="simsun" w:hAnsi="simsun" w:hint="eastAsia"/>
          <w:color w:val="333333"/>
        </w:rPr>
        <w:t>三</w:t>
      </w:r>
      <w:r>
        <w:rPr>
          <w:rFonts w:ascii="simsun" w:hAnsi="simsun"/>
          <w:color w:val="333333"/>
        </w:rPr>
        <w:t>)</w:t>
      </w:r>
      <w:r>
        <w:rPr>
          <w:rFonts w:ascii="simsun" w:hAnsi="simsun" w:hint="eastAsia"/>
          <w:color w:val="333333"/>
        </w:rPr>
        <w:t>落实金融支持政策</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加大对保租房建设的金融支持力度，鼓励银行业金融机构以市场化方式向保租房的主体提供中长期贷款。支持向改建</w:t>
      </w:r>
      <w:r>
        <w:rPr>
          <w:rFonts w:ascii="simsun" w:hAnsi="simsun"/>
          <w:color w:val="333333"/>
        </w:rPr>
        <w:t>(</w:t>
      </w:r>
      <w:r>
        <w:rPr>
          <w:rFonts w:ascii="simsun" w:hAnsi="simsun" w:hint="eastAsia"/>
          <w:color w:val="333333"/>
        </w:rPr>
        <w:t>改造</w:t>
      </w:r>
      <w:r>
        <w:rPr>
          <w:rFonts w:ascii="simsun" w:hAnsi="simsun"/>
          <w:color w:val="333333"/>
        </w:rPr>
        <w:t>)</w:t>
      </w:r>
      <w:r>
        <w:rPr>
          <w:rFonts w:ascii="simsun" w:hAnsi="simsun" w:hint="eastAsia"/>
          <w:color w:val="333333"/>
        </w:rPr>
        <w:t>存量房屋形成非自有产权保租房的住房租赁企业提供贷款</w:t>
      </w:r>
      <w:r>
        <w:rPr>
          <w:rFonts w:ascii="simsun" w:hAnsi="simsun"/>
          <w:color w:val="333333"/>
        </w:rPr>
        <w:t>;</w:t>
      </w:r>
      <w:r>
        <w:rPr>
          <w:rFonts w:ascii="simsun" w:hAnsi="simsun" w:hint="eastAsia"/>
          <w:color w:val="333333"/>
        </w:rPr>
        <w:t>支持</w:t>
      </w:r>
      <w:r>
        <w:rPr>
          <w:rFonts w:ascii="simsun" w:hAnsi="simsun"/>
          <w:color w:val="333333"/>
        </w:rPr>
        <w:t xml:space="preserve"> </w:t>
      </w:r>
      <w:r>
        <w:rPr>
          <w:rFonts w:ascii="simsun" w:hAnsi="simsun" w:hint="eastAsia"/>
          <w:color w:val="333333"/>
        </w:rPr>
        <w:t>符合条件的保租房建设运营企业在银行间债券市场发债融资</w:t>
      </w:r>
      <w:r>
        <w:rPr>
          <w:rFonts w:ascii="simsun" w:hAnsi="simsun"/>
          <w:color w:val="333333"/>
        </w:rPr>
        <w:t>;</w:t>
      </w:r>
      <w:r>
        <w:rPr>
          <w:rFonts w:ascii="simsun" w:hAnsi="simsun" w:hint="eastAsia"/>
          <w:color w:val="333333"/>
        </w:rPr>
        <w:t>支持保租房建设、改造、运营企业发行基础设施不动产投资信托基金</w:t>
      </w:r>
      <w:r>
        <w:rPr>
          <w:rFonts w:ascii="simsun" w:hAnsi="simsun"/>
          <w:color w:val="333333"/>
        </w:rPr>
        <w:t xml:space="preserve"> (REITs)</w:t>
      </w:r>
      <w:r>
        <w:rPr>
          <w:rFonts w:ascii="simsun" w:hAnsi="simsun" w:hint="eastAsia"/>
          <w:color w:val="333333"/>
        </w:rPr>
        <w:t>融资。</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四、项目建设</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w:t>
      </w:r>
      <w:r>
        <w:rPr>
          <w:rFonts w:ascii="simsun" w:hAnsi="simsun"/>
          <w:color w:val="333333"/>
        </w:rPr>
        <w:t>(</w:t>
      </w:r>
      <w:r>
        <w:rPr>
          <w:rFonts w:ascii="simsun" w:hAnsi="simsun" w:hint="eastAsia"/>
          <w:color w:val="333333"/>
        </w:rPr>
        <w:t>一</w:t>
      </w:r>
      <w:r>
        <w:rPr>
          <w:rFonts w:ascii="simsun" w:hAnsi="simsun"/>
          <w:color w:val="333333"/>
        </w:rPr>
        <w:t>)</w:t>
      </w:r>
      <w:r>
        <w:rPr>
          <w:rFonts w:ascii="simsun" w:hAnsi="simsun" w:hint="eastAsia"/>
          <w:color w:val="333333"/>
        </w:rPr>
        <w:t>加强年度计划安排。属地县级政府每年第三季度要确定下年度保租房项目清单，经市政府同意后，上报省级相关部门</w:t>
      </w:r>
      <w:r>
        <w:rPr>
          <w:rFonts w:ascii="simsun" w:hAnsi="simsun"/>
          <w:color w:val="333333"/>
        </w:rPr>
        <w:t>;</w:t>
      </w:r>
      <w:r>
        <w:rPr>
          <w:rFonts w:ascii="simsun" w:hAnsi="simsun" w:hint="eastAsia"/>
          <w:color w:val="333333"/>
        </w:rPr>
        <w:t>要建立保租房年度项目库和项目储备库，做好储备项目和年度计划的衔接，实行项目滚动调整机制。对于按规定盘活后用作保租房的闲置棚改安置住房和公租房等已享受其他财政支持的房源，均应纳入年度保租房计划，但不得重复享受补助资金支持。</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w:t>
      </w:r>
      <w:r>
        <w:rPr>
          <w:rFonts w:ascii="simsun" w:hAnsi="simsun"/>
          <w:color w:val="333333"/>
        </w:rPr>
        <w:t>(</w:t>
      </w:r>
      <w:r>
        <w:rPr>
          <w:rFonts w:ascii="simsun" w:hAnsi="simsun" w:hint="eastAsia"/>
          <w:color w:val="333333"/>
        </w:rPr>
        <w:t>二</w:t>
      </w:r>
      <w:r>
        <w:rPr>
          <w:rFonts w:ascii="simsun" w:hAnsi="simsun"/>
          <w:color w:val="333333"/>
        </w:rPr>
        <w:t>)</w:t>
      </w:r>
      <w:r>
        <w:rPr>
          <w:rFonts w:ascii="simsun" w:hAnsi="simsun" w:hint="eastAsia"/>
          <w:color w:val="333333"/>
        </w:rPr>
        <w:t>引导多方参与。充分发挥政府、企业、社会组织等各类主体作用，坚持</w:t>
      </w:r>
      <w:r>
        <w:rPr>
          <w:rFonts w:ascii="simsun" w:hAnsi="simsun"/>
          <w:color w:val="333333"/>
        </w:rPr>
        <w:t>“</w:t>
      </w:r>
      <w:r>
        <w:rPr>
          <w:rFonts w:ascii="simsun" w:hAnsi="simsun" w:hint="eastAsia"/>
          <w:color w:val="333333"/>
        </w:rPr>
        <w:t>谁投资、谁所有</w:t>
      </w:r>
      <w:r>
        <w:rPr>
          <w:rFonts w:ascii="simsun" w:hAnsi="simsun"/>
          <w:color w:val="333333"/>
        </w:rPr>
        <w:t>”</w:t>
      </w:r>
      <w:r>
        <w:rPr>
          <w:rFonts w:ascii="simsun" w:hAnsi="simsun" w:hint="eastAsia"/>
          <w:color w:val="333333"/>
        </w:rPr>
        <w:t>。鼓励房地产开发企业、住房租赁企业、社会事业单位等多方主体参与保租房建设运营。</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支持国有企业在工业</w:t>
      </w:r>
      <w:r>
        <w:rPr>
          <w:rFonts w:ascii="simsun" w:hAnsi="simsun"/>
          <w:color w:val="333333"/>
        </w:rPr>
        <w:t>(</w:t>
      </w:r>
      <w:r>
        <w:rPr>
          <w:rFonts w:ascii="simsun" w:hAnsi="simsun" w:hint="eastAsia"/>
          <w:color w:val="333333"/>
        </w:rPr>
        <w:t>产业</w:t>
      </w:r>
      <w:r>
        <w:rPr>
          <w:rFonts w:ascii="simsun" w:hAnsi="simsun"/>
          <w:color w:val="333333"/>
        </w:rPr>
        <w:t>)</w:t>
      </w:r>
      <w:r>
        <w:rPr>
          <w:rFonts w:ascii="simsun" w:hAnsi="simsun" w:hint="eastAsia"/>
          <w:color w:val="333333"/>
        </w:rPr>
        <w:t>园区配套用地中建设运营保租房，工业</w:t>
      </w:r>
      <w:r>
        <w:rPr>
          <w:rFonts w:ascii="simsun" w:hAnsi="simsun"/>
          <w:color w:val="333333"/>
        </w:rPr>
        <w:t>(</w:t>
      </w:r>
      <w:r>
        <w:rPr>
          <w:rFonts w:ascii="simsun" w:hAnsi="simsun" w:hint="eastAsia"/>
          <w:color w:val="333333"/>
        </w:rPr>
        <w:t>产业</w:t>
      </w:r>
      <w:r>
        <w:rPr>
          <w:rFonts w:ascii="simsun" w:hAnsi="simsun"/>
          <w:color w:val="333333"/>
        </w:rPr>
        <w:t>)</w:t>
      </w:r>
      <w:r>
        <w:rPr>
          <w:rFonts w:ascii="simsun" w:hAnsi="simsun" w:hint="eastAsia"/>
          <w:color w:val="333333"/>
        </w:rPr>
        <w:t>园区内的国有企业工业用地，要充分利用行政办公及生活配套比例提高部分足额配建保租房。支持国有企业利用自有闲置土地建设保租房或通过入股、合营、联营等方式，与民营企业、农村集体经济组织等市场主体合作利用民营企业自有闲置土地或集体经营性建设用地建设保租房，探索民营企业或农村集体经济组织出地、国企出资、金融机构提供金融配套服务、专业化运营企业提供运营的</w:t>
      </w:r>
      <w:r>
        <w:rPr>
          <w:rFonts w:ascii="simsun" w:hAnsi="simsun"/>
          <w:color w:val="333333"/>
        </w:rPr>
        <w:t>“</w:t>
      </w:r>
      <w:r>
        <w:rPr>
          <w:rFonts w:ascii="simsun" w:hAnsi="simsun" w:hint="eastAsia"/>
          <w:color w:val="333333"/>
        </w:rPr>
        <w:t>国企</w:t>
      </w:r>
      <w:r>
        <w:rPr>
          <w:rFonts w:ascii="simsun" w:hAnsi="simsun"/>
          <w:color w:val="333333"/>
        </w:rPr>
        <w:t>+</w:t>
      </w:r>
      <w:r>
        <w:rPr>
          <w:rFonts w:ascii="simsun" w:hAnsi="simsun" w:hint="eastAsia"/>
          <w:color w:val="333333"/>
        </w:rPr>
        <w:t>运营</w:t>
      </w:r>
      <w:r>
        <w:rPr>
          <w:rFonts w:ascii="simsun" w:hAnsi="simsun"/>
          <w:color w:val="333333"/>
        </w:rPr>
        <w:t>+</w:t>
      </w:r>
      <w:r>
        <w:rPr>
          <w:rFonts w:ascii="simsun" w:hAnsi="simsun" w:hint="eastAsia"/>
          <w:color w:val="333333"/>
        </w:rPr>
        <w:t>金融</w:t>
      </w:r>
      <w:r>
        <w:rPr>
          <w:rFonts w:ascii="simsun" w:hAnsi="simsun"/>
          <w:color w:val="333333"/>
        </w:rPr>
        <w:t>”“</w:t>
      </w:r>
      <w:r>
        <w:rPr>
          <w:rFonts w:ascii="simsun" w:hAnsi="simsun" w:hint="eastAsia"/>
          <w:color w:val="333333"/>
        </w:rPr>
        <w:t>国企</w:t>
      </w:r>
      <w:r>
        <w:rPr>
          <w:rFonts w:ascii="simsun" w:hAnsi="simsun"/>
          <w:color w:val="333333"/>
        </w:rPr>
        <w:t>+</w:t>
      </w:r>
      <w:r>
        <w:rPr>
          <w:rFonts w:ascii="simsun" w:hAnsi="simsun" w:hint="eastAsia"/>
          <w:color w:val="333333"/>
        </w:rPr>
        <w:t>民企</w:t>
      </w:r>
      <w:r>
        <w:rPr>
          <w:rFonts w:ascii="simsun" w:hAnsi="simsun"/>
          <w:color w:val="333333"/>
        </w:rPr>
        <w:t>+</w:t>
      </w:r>
      <w:r>
        <w:rPr>
          <w:rFonts w:ascii="simsun" w:hAnsi="simsun" w:hint="eastAsia"/>
          <w:color w:val="333333"/>
        </w:rPr>
        <w:t>运营</w:t>
      </w:r>
      <w:r>
        <w:rPr>
          <w:rFonts w:ascii="simsun" w:hAnsi="simsun"/>
          <w:color w:val="333333"/>
        </w:rPr>
        <w:t>+</w:t>
      </w:r>
      <w:r>
        <w:rPr>
          <w:rFonts w:ascii="simsun" w:hAnsi="simsun" w:hint="eastAsia"/>
          <w:color w:val="333333"/>
        </w:rPr>
        <w:t>金融</w:t>
      </w:r>
      <w:r>
        <w:rPr>
          <w:rFonts w:ascii="simsun" w:hAnsi="simsun"/>
          <w:color w:val="333333"/>
        </w:rPr>
        <w:t>”</w:t>
      </w:r>
      <w:r>
        <w:rPr>
          <w:rFonts w:ascii="simsun" w:hAnsi="simsun" w:hint="eastAsia"/>
          <w:color w:val="333333"/>
        </w:rPr>
        <w:t>等多种</w:t>
      </w:r>
      <w:r>
        <w:rPr>
          <w:rFonts w:ascii="simsun" w:hAnsi="simsun"/>
          <w:color w:val="333333"/>
        </w:rPr>
        <w:t>“1+N”</w:t>
      </w:r>
      <w:r>
        <w:rPr>
          <w:rFonts w:ascii="simsun" w:hAnsi="simsun" w:hint="eastAsia"/>
          <w:color w:val="333333"/>
        </w:rPr>
        <w:t>的混合型发展模式。支持市、区两级国有企业组建以建设运营租赁住房为主营业务的专业化住房租赁企业，提高租赁住房建设运营规模化、集约化、专业化、精细化水平，发挥国有企业的引领带动作用。对国有企业参与保租房建设运营的，由国资部门按照管理权限，将其参与的专项工作任务纳入国有企业考核评价范围，统筹兼顾其业绩指标影响。</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w:t>
      </w:r>
      <w:r>
        <w:rPr>
          <w:rFonts w:ascii="simsun" w:hAnsi="simsun"/>
          <w:color w:val="333333"/>
        </w:rPr>
        <w:t>(</w:t>
      </w:r>
      <w:r>
        <w:rPr>
          <w:rFonts w:ascii="simsun" w:hAnsi="simsun" w:hint="eastAsia"/>
          <w:color w:val="333333"/>
        </w:rPr>
        <w:t>三</w:t>
      </w:r>
      <w:r>
        <w:rPr>
          <w:rFonts w:ascii="simsun" w:hAnsi="simsun"/>
          <w:color w:val="333333"/>
        </w:rPr>
        <w:t>)</w:t>
      </w:r>
      <w:r>
        <w:rPr>
          <w:rFonts w:ascii="simsun" w:hAnsi="simsun" w:hint="eastAsia"/>
          <w:color w:val="333333"/>
        </w:rPr>
        <w:t>严格设计要求。保租房规划设计要严格落实《住房和城乡建设部关于集中式租赁住房建设适用标准的通知》</w:t>
      </w:r>
      <w:r>
        <w:rPr>
          <w:rFonts w:ascii="simsun" w:hAnsi="simsun"/>
          <w:color w:val="333333"/>
        </w:rPr>
        <w:t>(</w:t>
      </w:r>
      <w:r>
        <w:rPr>
          <w:rFonts w:ascii="simsun" w:hAnsi="simsun" w:hint="eastAsia"/>
          <w:color w:val="333333"/>
        </w:rPr>
        <w:t>建办标〔</w:t>
      </w:r>
      <w:r>
        <w:rPr>
          <w:rFonts w:ascii="simsun" w:hAnsi="simsun"/>
          <w:color w:val="333333"/>
        </w:rPr>
        <w:t>2021</w:t>
      </w:r>
      <w:r>
        <w:rPr>
          <w:rFonts w:ascii="simsun" w:hAnsi="simsun" w:hint="eastAsia"/>
          <w:color w:val="333333"/>
        </w:rPr>
        <w:t>〕</w:t>
      </w:r>
      <w:r>
        <w:rPr>
          <w:rFonts w:ascii="simsun" w:hAnsi="simsun"/>
          <w:color w:val="333333"/>
        </w:rPr>
        <w:t xml:space="preserve">19 </w:t>
      </w:r>
      <w:r>
        <w:rPr>
          <w:rFonts w:ascii="simsun" w:hAnsi="simsun" w:hint="eastAsia"/>
          <w:color w:val="333333"/>
        </w:rPr>
        <w:t>号</w:t>
      </w:r>
      <w:r>
        <w:rPr>
          <w:rFonts w:ascii="simsun" w:hAnsi="simsun"/>
          <w:color w:val="333333"/>
        </w:rPr>
        <w:t>)</w:t>
      </w:r>
      <w:r>
        <w:rPr>
          <w:rFonts w:ascii="simsun" w:hAnsi="simsun" w:hint="eastAsia"/>
          <w:color w:val="333333"/>
        </w:rPr>
        <w:t>要求，户型设计主要以</w:t>
      </w:r>
      <w:r>
        <w:rPr>
          <w:rFonts w:ascii="simsun" w:hAnsi="simsun"/>
          <w:color w:val="333333"/>
        </w:rPr>
        <w:t>30-45</w:t>
      </w:r>
      <w:r>
        <w:rPr>
          <w:rFonts w:ascii="simsun" w:hAnsi="simsun" w:hint="eastAsia"/>
          <w:color w:val="333333"/>
        </w:rPr>
        <w:t>平方米的一房型为主，适当配置</w:t>
      </w:r>
      <w:r>
        <w:rPr>
          <w:rFonts w:ascii="simsun" w:hAnsi="simsun"/>
          <w:color w:val="333333"/>
        </w:rPr>
        <w:t>45-70</w:t>
      </w:r>
      <w:r>
        <w:rPr>
          <w:rFonts w:ascii="simsun" w:hAnsi="simsun" w:hint="eastAsia"/>
          <w:color w:val="333333"/>
        </w:rPr>
        <w:t>平方米二房型和</w:t>
      </w:r>
      <w:r>
        <w:rPr>
          <w:rFonts w:ascii="simsun" w:hAnsi="simsun"/>
          <w:color w:val="333333"/>
        </w:rPr>
        <w:t>90</w:t>
      </w:r>
      <w:r>
        <w:rPr>
          <w:rFonts w:ascii="simsun" w:hAnsi="simsun" w:hint="eastAsia"/>
          <w:color w:val="333333"/>
        </w:rPr>
        <w:t>平方米以内的三房型，其中</w:t>
      </w:r>
      <w:r>
        <w:rPr>
          <w:rFonts w:ascii="simsun" w:hAnsi="simsun"/>
          <w:color w:val="333333"/>
        </w:rPr>
        <w:t>90</w:t>
      </w:r>
      <w:r>
        <w:rPr>
          <w:rFonts w:ascii="simsun" w:hAnsi="simsun" w:hint="eastAsia"/>
          <w:color w:val="333333"/>
        </w:rPr>
        <w:t>平方米以内的三房型套数不超过单个项目套数的</w:t>
      </w:r>
      <w:r>
        <w:rPr>
          <w:rFonts w:ascii="simsun" w:hAnsi="simsun"/>
          <w:color w:val="333333"/>
        </w:rPr>
        <w:t>20%</w:t>
      </w:r>
      <w:r>
        <w:rPr>
          <w:rFonts w:ascii="simsun" w:hAnsi="simsun" w:hint="eastAsia"/>
          <w:color w:val="333333"/>
        </w:rPr>
        <w:t>，以满足单身、家庭、多孩家庭等不同群体的多样化需求。新建保租房应按照《福建省绿色建筑发展条例》要求，按全装修成品住房建设，并具备拎包入住条件。新建保租房小区应参照新建住宅小区配套相应的商业、公共服务设施</w:t>
      </w:r>
      <w:r>
        <w:rPr>
          <w:rFonts w:ascii="simsun" w:hAnsi="simsun"/>
          <w:color w:val="333333"/>
        </w:rPr>
        <w:t>;</w:t>
      </w:r>
      <w:r>
        <w:rPr>
          <w:rFonts w:ascii="simsun" w:hAnsi="simsun" w:hint="eastAsia"/>
          <w:color w:val="333333"/>
        </w:rPr>
        <w:t>改建</w:t>
      </w:r>
      <w:r>
        <w:rPr>
          <w:rFonts w:ascii="simsun" w:hAnsi="simsun"/>
          <w:color w:val="333333"/>
        </w:rPr>
        <w:t>(</w:t>
      </w:r>
      <w:r>
        <w:rPr>
          <w:rFonts w:ascii="simsun" w:hAnsi="simsun" w:hint="eastAsia"/>
          <w:color w:val="333333"/>
        </w:rPr>
        <w:t>改造</w:t>
      </w:r>
      <w:r>
        <w:rPr>
          <w:rFonts w:ascii="simsun" w:hAnsi="simsun"/>
          <w:color w:val="333333"/>
        </w:rPr>
        <w:t>)</w:t>
      </w:r>
      <w:r>
        <w:rPr>
          <w:rFonts w:ascii="simsun" w:hAnsi="simsun" w:hint="eastAsia"/>
          <w:color w:val="333333"/>
        </w:rPr>
        <w:t>的保租房小区，在符合规划的前提下可配套相应的商业、公共服务设施</w:t>
      </w:r>
      <w:r>
        <w:rPr>
          <w:rFonts w:ascii="simsun" w:hAnsi="simsun"/>
          <w:color w:val="333333"/>
        </w:rPr>
        <w:t>;</w:t>
      </w:r>
      <w:r>
        <w:rPr>
          <w:rFonts w:ascii="simsun" w:hAnsi="simsun" w:hint="eastAsia"/>
          <w:color w:val="333333"/>
        </w:rPr>
        <w:t>探索推行</w:t>
      </w:r>
      <w:r>
        <w:rPr>
          <w:rFonts w:ascii="simsun" w:hAnsi="simsun"/>
          <w:color w:val="333333"/>
        </w:rPr>
        <w:t>“</w:t>
      </w:r>
      <w:r>
        <w:rPr>
          <w:rFonts w:ascii="simsun" w:hAnsi="simsun" w:hint="eastAsia"/>
          <w:color w:val="333333"/>
        </w:rPr>
        <w:t>房间</w:t>
      </w:r>
      <w:r>
        <w:rPr>
          <w:rFonts w:ascii="simsun" w:hAnsi="simsun"/>
          <w:color w:val="333333"/>
        </w:rPr>
        <w:t>+</w:t>
      </w:r>
      <w:r>
        <w:rPr>
          <w:rFonts w:ascii="simsun" w:hAnsi="simsun" w:hint="eastAsia"/>
          <w:color w:val="333333"/>
        </w:rPr>
        <w:t>共享设施</w:t>
      </w:r>
      <w:r>
        <w:rPr>
          <w:rFonts w:ascii="simsun" w:hAnsi="simsun"/>
          <w:color w:val="333333"/>
        </w:rPr>
        <w:t>+</w:t>
      </w:r>
      <w:r>
        <w:rPr>
          <w:rFonts w:ascii="simsun" w:hAnsi="simsun" w:hint="eastAsia"/>
          <w:color w:val="333333"/>
        </w:rPr>
        <w:t>基础配套</w:t>
      </w:r>
      <w:r>
        <w:rPr>
          <w:rFonts w:ascii="simsun" w:hAnsi="simsun"/>
          <w:color w:val="333333"/>
        </w:rPr>
        <w:t>”</w:t>
      </w:r>
      <w:r>
        <w:rPr>
          <w:rFonts w:ascii="simsun" w:hAnsi="simsun" w:hint="eastAsia"/>
          <w:color w:val="333333"/>
        </w:rPr>
        <w:t>的</w:t>
      </w:r>
      <w:r>
        <w:rPr>
          <w:rFonts w:ascii="simsun" w:hAnsi="simsun"/>
          <w:color w:val="333333"/>
        </w:rPr>
        <w:t>“1+N”</w:t>
      </w:r>
      <w:r>
        <w:rPr>
          <w:rFonts w:ascii="simsun" w:hAnsi="simsun" w:hint="eastAsia"/>
          <w:color w:val="333333"/>
        </w:rPr>
        <w:t>租赁社区模式，配套建设图书阅览室、食堂、会客室、健身房等共享设施及机动车位等，提升居住品质。</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w:t>
      </w:r>
      <w:r>
        <w:rPr>
          <w:rFonts w:ascii="simsun" w:hAnsi="simsun"/>
          <w:color w:val="333333"/>
        </w:rPr>
        <w:t>(</w:t>
      </w:r>
      <w:r>
        <w:rPr>
          <w:rFonts w:ascii="simsun" w:hAnsi="simsun" w:hint="eastAsia"/>
          <w:color w:val="333333"/>
        </w:rPr>
        <w:t>四</w:t>
      </w:r>
      <w:r>
        <w:rPr>
          <w:rFonts w:ascii="simsun" w:hAnsi="simsun"/>
          <w:color w:val="333333"/>
        </w:rPr>
        <w:t>)</w:t>
      </w:r>
      <w:r>
        <w:rPr>
          <w:rFonts w:ascii="simsun" w:hAnsi="simsun" w:hint="eastAsia"/>
          <w:color w:val="333333"/>
        </w:rPr>
        <w:t>实行联审认定。保租房项目准入认定实行</w:t>
      </w:r>
      <w:r>
        <w:rPr>
          <w:rFonts w:ascii="simsun" w:hAnsi="simsun"/>
          <w:color w:val="333333"/>
        </w:rPr>
        <w:t>“</w:t>
      </w:r>
      <w:r>
        <w:rPr>
          <w:rFonts w:ascii="simsun" w:hAnsi="simsun" w:hint="eastAsia"/>
          <w:color w:val="333333"/>
        </w:rPr>
        <w:t>先申报认定，后纳入计划</w:t>
      </w:r>
      <w:r>
        <w:rPr>
          <w:rFonts w:ascii="simsun" w:hAnsi="simsun"/>
          <w:color w:val="333333"/>
        </w:rPr>
        <w:t>”</w:t>
      </w:r>
      <w:r>
        <w:rPr>
          <w:rFonts w:ascii="simsun" w:hAnsi="simsun" w:hint="eastAsia"/>
          <w:color w:val="333333"/>
        </w:rPr>
        <w:t>的工作机制，纳入保租房年度计划应先取得项目认定书。保租房项目报经属地县级政府同意并纳入保租房项目储备库后，由市保租房领导小组组织市发改、财政、住建、资源规划等</w:t>
      </w:r>
      <w:r>
        <w:rPr>
          <w:rFonts w:ascii="simsun" w:hAnsi="simsun"/>
          <w:color w:val="333333"/>
        </w:rPr>
        <w:t xml:space="preserve"> </w:t>
      </w:r>
      <w:r>
        <w:rPr>
          <w:rFonts w:ascii="simsun" w:hAnsi="simsun" w:hint="eastAsia"/>
          <w:color w:val="333333"/>
        </w:rPr>
        <w:t>部门对保租房申报项目进行联合审查，经联合审查同意的，由市</w:t>
      </w:r>
      <w:r>
        <w:rPr>
          <w:rFonts w:ascii="simsun" w:hAnsi="simsun"/>
          <w:color w:val="333333"/>
        </w:rPr>
        <w:t xml:space="preserve"> </w:t>
      </w:r>
      <w:r>
        <w:rPr>
          <w:rFonts w:ascii="simsun" w:hAnsi="simsun" w:hint="eastAsia"/>
          <w:color w:val="333333"/>
        </w:rPr>
        <w:t>保租房领导小组办公室出具保租房项目认定书。建立健全由住建、资源规划、财政、税务、电力、金融等部门组成的联动机制，及时共享保租房项目认定、验收、开业及企业名录等信息。</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w:t>
      </w:r>
      <w:r>
        <w:rPr>
          <w:rFonts w:ascii="simsun" w:hAnsi="simsun"/>
          <w:color w:val="333333"/>
        </w:rPr>
        <w:t>(</w:t>
      </w:r>
      <w:r>
        <w:rPr>
          <w:rFonts w:ascii="simsun" w:hAnsi="simsun" w:hint="eastAsia"/>
          <w:color w:val="333333"/>
        </w:rPr>
        <w:t>五</w:t>
      </w:r>
      <w:r>
        <w:rPr>
          <w:rFonts w:ascii="simsun" w:hAnsi="simsun"/>
          <w:color w:val="333333"/>
        </w:rPr>
        <w:t>)</w:t>
      </w:r>
      <w:r>
        <w:rPr>
          <w:rFonts w:ascii="simsun" w:hAnsi="simsun" w:hint="eastAsia"/>
          <w:color w:val="333333"/>
        </w:rPr>
        <w:t>优化审批流程。按照</w:t>
      </w:r>
      <w:r>
        <w:rPr>
          <w:rFonts w:ascii="simsun" w:hAnsi="simsun"/>
          <w:color w:val="333333"/>
        </w:rPr>
        <w:t>“</w:t>
      </w:r>
      <w:r>
        <w:rPr>
          <w:rFonts w:ascii="simsun" w:hAnsi="simsun" w:hint="eastAsia"/>
          <w:color w:val="333333"/>
        </w:rPr>
        <w:t>放管服</w:t>
      </w:r>
      <w:r>
        <w:rPr>
          <w:rFonts w:ascii="simsun" w:hAnsi="simsun"/>
          <w:color w:val="333333"/>
        </w:rPr>
        <w:t>”</w:t>
      </w:r>
      <w:r>
        <w:rPr>
          <w:rFonts w:ascii="simsun" w:hAnsi="simsun" w:hint="eastAsia"/>
          <w:color w:val="333333"/>
        </w:rPr>
        <w:t>改革要求，优化保租房项目审批，构建快速审批绿色通道，提高项目审批效率，加快保租房供给。保租房项目取得项目认定书后，由市发改、资源规划、住建部门通过泉州市工程建设审批平台，分别办理立项、用地、规划、设计、施工、消防等手续。不涉及土地权属变化的项目，可用已有用地手续等材料作为土地证明文件，不再办理用地手续。项目审批完成后纳入保租房年度项目库，列入年度建设计划。</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w:t>
      </w:r>
      <w:r>
        <w:rPr>
          <w:rFonts w:ascii="simsun" w:hAnsi="simsun"/>
          <w:color w:val="333333"/>
        </w:rPr>
        <w:t>(</w:t>
      </w:r>
      <w:r>
        <w:rPr>
          <w:rFonts w:ascii="simsun" w:hAnsi="simsun" w:hint="eastAsia"/>
          <w:color w:val="333333"/>
        </w:rPr>
        <w:t>六</w:t>
      </w:r>
      <w:r>
        <w:rPr>
          <w:rFonts w:ascii="simsun" w:hAnsi="simsun"/>
          <w:color w:val="333333"/>
        </w:rPr>
        <w:t>)</w:t>
      </w:r>
      <w:r>
        <w:rPr>
          <w:rFonts w:ascii="simsun" w:hAnsi="simsun" w:hint="eastAsia"/>
          <w:color w:val="333333"/>
        </w:rPr>
        <w:t>加强质量监管。住建部门应加强项目建设过程的监督，将保租房纳入工程建设质量安全监管，并作为监管检查的重点，督促建设各方责任主体落实质量安全责任，确保工程质量和施工安全。利用存量房屋改建</w:t>
      </w:r>
      <w:r>
        <w:rPr>
          <w:rFonts w:ascii="simsun" w:hAnsi="simsun"/>
          <w:color w:val="333333"/>
        </w:rPr>
        <w:t>(</w:t>
      </w:r>
      <w:r>
        <w:rPr>
          <w:rFonts w:ascii="simsun" w:hAnsi="simsun" w:hint="eastAsia"/>
          <w:color w:val="333333"/>
        </w:rPr>
        <w:t>改造</w:t>
      </w:r>
      <w:r>
        <w:rPr>
          <w:rFonts w:ascii="simsun" w:hAnsi="simsun"/>
          <w:color w:val="333333"/>
        </w:rPr>
        <w:t>)</w:t>
      </w:r>
      <w:r>
        <w:rPr>
          <w:rFonts w:ascii="simsun" w:hAnsi="simsun" w:hint="eastAsia"/>
          <w:color w:val="333333"/>
        </w:rPr>
        <w:t>的项目，需委托具备建筑设计资质的技术机构对拟改建</w:t>
      </w:r>
      <w:r>
        <w:rPr>
          <w:rFonts w:ascii="simsun" w:hAnsi="simsun"/>
          <w:color w:val="333333"/>
        </w:rPr>
        <w:t>(</w:t>
      </w:r>
      <w:r>
        <w:rPr>
          <w:rFonts w:ascii="simsun" w:hAnsi="simsun" w:hint="eastAsia"/>
          <w:color w:val="333333"/>
        </w:rPr>
        <w:t>改造</w:t>
      </w:r>
      <w:r>
        <w:rPr>
          <w:rFonts w:ascii="simsun" w:hAnsi="simsun"/>
          <w:color w:val="333333"/>
        </w:rPr>
        <w:t>)</w:t>
      </w:r>
      <w:r>
        <w:rPr>
          <w:rFonts w:ascii="simsun" w:hAnsi="simsun" w:hint="eastAsia"/>
          <w:color w:val="333333"/>
        </w:rPr>
        <w:t>的建筑进行消防技术可行性研究及持有资质的房屋安全鉴定机构出具的安全性评级为</w:t>
      </w:r>
      <w:r>
        <w:rPr>
          <w:rFonts w:ascii="simsun" w:hAnsi="simsun"/>
          <w:color w:val="333333"/>
        </w:rPr>
        <w:t>Asu</w:t>
      </w:r>
      <w:r>
        <w:rPr>
          <w:rFonts w:ascii="simsun" w:hAnsi="simsun" w:hint="eastAsia"/>
          <w:color w:val="333333"/>
        </w:rPr>
        <w:t>或</w:t>
      </w:r>
      <w:r>
        <w:rPr>
          <w:rFonts w:ascii="simsun" w:hAnsi="simsun"/>
          <w:color w:val="333333"/>
        </w:rPr>
        <w:t>Bsu</w:t>
      </w:r>
      <w:r>
        <w:rPr>
          <w:rFonts w:ascii="simsun" w:hAnsi="simsun" w:hint="eastAsia"/>
          <w:color w:val="333333"/>
        </w:rPr>
        <w:t>的《安全性鉴定报告》、结论为</w:t>
      </w:r>
      <w:r>
        <w:rPr>
          <w:rFonts w:ascii="simsun" w:hAnsi="simsun"/>
          <w:color w:val="333333"/>
        </w:rPr>
        <w:t>“</w:t>
      </w:r>
      <w:r>
        <w:rPr>
          <w:rFonts w:ascii="simsun" w:hAnsi="simsun" w:hint="eastAsia"/>
          <w:color w:val="333333"/>
        </w:rPr>
        <w:t>抗震鉴定结果满足规范要求</w:t>
      </w:r>
      <w:r>
        <w:rPr>
          <w:rFonts w:ascii="simsun" w:hAnsi="simsun"/>
          <w:color w:val="333333"/>
        </w:rPr>
        <w:t>”</w:t>
      </w:r>
      <w:r>
        <w:rPr>
          <w:rFonts w:ascii="simsun" w:hAnsi="simsun" w:hint="eastAsia"/>
          <w:color w:val="333333"/>
        </w:rPr>
        <w:t>的《抗震鉴定报告》。</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w:t>
      </w:r>
      <w:r>
        <w:rPr>
          <w:rFonts w:ascii="simsun" w:hAnsi="simsun"/>
          <w:color w:val="333333"/>
        </w:rPr>
        <w:t>(</w:t>
      </w:r>
      <w:r>
        <w:rPr>
          <w:rFonts w:ascii="simsun" w:hAnsi="simsun" w:hint="eastAsia"/>
          <w:color w:val="333333"/>
        </w:rPr>
        <w:t>七</w:t>
      </w:r>
      <w:r>
        <w:rPr>
          <w:rFonts w:ascii="simsun" w:hAnsi="simsun"/>
          <w:color w:val="333333"/>
        </w:rPr>
        <w:t>)</w:t>
      </w:r>
      <w:r>
        <w:rPr>
          <w:rFonts w:ascii="simsun" w:hAnsi="simsun" w:hint="eastAsia"/>
          <w:color w:val="333333"/>
        </w:rPr>
        <w:t>盘活存量住房资源。鼓励个人将存量商品住房通过泉州市住房租赁服务监管平台长期委托专业化住房租赁企业运营；鼓励物业服务企业将自持存量房源作为租赁住房向市场供应；鼓励支持房地产开发企业改变经营方式，从单一的开发销售向</w:t>
      </w:r>
      <w:r>
        <w:rPr>
          <w:rFonts w:ascii="simsun" w:hAnsi="simsun"/>
          <w:color w:val="333333"/>
        </w:rPr>
        <w:t>“</w:t>
      </w:r>
      <w:r>
        <w:rPr>
          <w:rFonts w:ascii="simsun" w:hAnsi="simsun" w:hint="eastAsia"/>
          <w:color w:val="333333"/>
        </w:rPr>
        <w:t>租售并举</w:t>
      </w:r>
      <w:r>
        <w:rPr>
          <w:rFonts w:ascii="simsun" w:hAnsi="simsun"/>
          <w:color w:val="333333"/>
        </w:rPr>
        <w:t>”</w:t>
      </w:r>
      <w:r>
        <w:rPr>
          <w:rFonts w:ascii="simsun" w:hAnsi="simsun" w:hint="eastAsia"/>
          <w:color w:val="333333"/>
        </w:rPr>
        <w:t>模式转变，在新建商品房项目中自持部分租赁住房。对上述盘活的存量住房符合保租房户型面积要求、相对集中、单个项目规模不低于</w:t>
      </w:r>
      <w:r>
        <w:rPr>
          <w:rFonts w:ascii="simsun" w:hAnsi="simsun"/>
          <w:color w:val="333333"/>
        </w:rPr>
        <w:t>20</w:t>
      </w:r>
      <w:r>
        <w:rPr>
          <w:rFonts w:ascii="simsun" w:hAnsi="simsun" w:hint="eastAsia"/>
          <w:color w:val="333333"/>
        </w:rPr>
        <w:t>套</w:t>
      </w:r>
      <w:r>
        <w:rPr>
          <w:rFonts w:ascii="simsun" w:hAnsi="simsun"/>
          <w:color w:val="333333"/>
        </w:rPr>
        <w:t>(</w:t>
      </w:r>
      <w:r>
        <w:rPr>
          <w:rFonts w:ascii="simsun" w:hAnsi="simsun" w:hint="eastAsia"/>
          <w:color w:val="333333"/>
        </w:rPr>
        <w:t>间</w:t>
      </w:r>
      <w:r>
        <w:rPr>
          <w:rFonts w:ascii="simsun" w:hAnsi="simsun"/>
          <w:color w:val="333333"/>
        </w:rPr>
        <w:t>)</w:t>
      </w:r>
      <w:r>
        <w:rPr>
          <w:rFonts w:ascii="simsun" w:hAnsi="simsun" w:hint="eastAsia"/>
          <w:color w:val="333333"/>
        </w:rPr>
        <w:t>且持有房源运营期不低于</w:t>
      </w:r>
      <w:r>
        <w:rPr>
          <w:rFonts w:ascii="simsun" w:hAnsi="simsun"/>
          <w:color w:val="333333"/>
        </w:rPr>
        <w:t>10</w:t>
      </w:r>
      <w:r>
        <w:rPr>
          <w:rFonts w:ascii="simsun" w:hAnsi="simsun" w:hint="eastAsia"/>
          <w:color w:val="333333"/>
        </w:rPr>
        <w:t>年的，可申请纳入保租房管理，同等享受保租房财税、金融等各项扶持政策。国有企业将持有的国有住房或通过租赁、购买等方式取得的住房作为保租房供应的，可通过泉州市住房租赁服务监管平台直接出租，无需通过市产权交易平台招标挂牌出租。</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五、运营管理</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w:t>
      </w:r>
      <w:r>
        <w:rPr>
          <w:rFonts w:ascii="simsun" w:hAnsi="simsun"/>
          <w:color w:val="333333"/>
        </w:rPr>
        <w:t>(</w:t>
      </w:r>
      <w:r>
        <w:rPr>
          <w:rFonts w:ascii="simsun" w:hAnsi="simsun" w:hint="eastAsia"/>
          <w:color w:val="333333"/>
        </w:rPr>
        <w:t>一</w:t>
      </w:r>
      <w:r>
        <w:rPr>
          <w:rFonts w:ascii="simsun" w:hAnsi="simsun"/>
          <w:color w:val="333333"/>
        </w:rPr>
        <w:t>)</w:t>
      </w:r>
      <w:r>
        <w:rPr>
          <w:rFonts w:ascii="simsun" w:hAnsi="simsun" w:hint="eastAsia"/>
          <w:color w:val="333333"/>
        </w:rPr>
        <w:t>明确保障对象。保租房供应重点面向本地区无房的新市民、青年人，优先保障新市民中从事基本公共服务的住房困难群体。利用企事业单位自有闲置土地、产业园区配套用地建设的保租房，可优先或定向供应本园区、本单位符合条件的职工</w:t>
      </w:r>
      <w:r>
        <w:rPr>
          <w:rFonts w:ascii="simsun" w:hAnsi="simsun"/>
          <w:color w:val="333333"/>
        </w:rPr>
        <w:t>;</w:t>
      </w:r>
      <w:r>
        <w:rPr>
          <w:rFonts w:ascii="simsun" w:hAnsi="simsun" w:hint="eastAsia"/>
          <w:color w:val="333333"/>
        </w:rPr>
        <w:t>其他用地建设的保租房，重点面向符合条件的新就业青年人和公共服务行业从业人员。</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w:t>
      </w:r>
      <w:r>
        <w:rPr>
          <w:rFonts w:ascii="simsun" w:hAnsi="simsun"/>
          <w:color w:val="333333"/>
        </w:rPr>
        <w:t>(</w:t>
      </w:r>
      <w:r>
        <w:rPr>
          <w:rFonts w:ascii="simsun" w:hAnsi="simsun" w:hint="eastAsia"/>
          <w:color w:val="333333"/>
        </w:rPr>
        <w:t>二</w:t>
      </w:r>
      <w:r>
        <w:rPr>
          <w:rFonts w:ascii="simsun" w:hAnsi="simsun"/>
          <w:color w:val="333333"/>
        </w:rPr>
        <w:t>)</w:t>
      </w:r>
      <w:r>
        <w:rPr>
          <w:rFonts w:ascii="simsun" w:hAnsi="simsun" w:hint="eastAsia"/>
          <w:color w:val="333333"/>
        </w:rPr>
        <w:t>强化租金管控。保租房租金实行政府指导价。租金标准按不高于同地段同品质的市场租赁住房评估租金的</w:t>
      </w:r>
      <w:r>
        <w:rPr>
          <w:rFonts w:ascii="simsun" w:hAnsi="simsun"/>
          <w:color w:val="333333"/>
        </w:rPr>
        <w:t>90%</w:t>
      </w:r>
      <w:r>
        <w:rPr>
          <w:rFonts w:ascii="simsun" w:hAnsi="simsun" w:hint="eastAsia"/>
          <w:color w:val="333333"/>
        </w:rPr>
        <w:t>执行，并实行动态调整，由投资主体或运营管理主体委托第三方专业机构定期评估确定，市场评估租金原则上</w:t>
      </w:r>
      <w:r>
        <w:rPr>
          <w:rFonts w:ascii="simsun" w:hAnsi="simsun"/>
          <w:color w:val="333333"/>
        </w:rPr>
        <w:t>1</w:t>
      </w:r>
      <w:r>
        <w:rPr>
          <w:rFonts w:ascii="simsun" w:hAnsi="simsun" w:hint="eastAsia"/>
          <w:color w:val="333333"/>
        </w:rPr>
        <w:t>年评估</w:t>
      </w:r>
      <w:r>
        <w:rPr>
          <w:rFonts w:ascii="simsun" w:hAnsi="simsun"/>
          <w:color w:val="333333"/>
        </w:rPr>
        <w:t>1</w:t>
      </w:r>
      <w:r>
        <w:rPr>
          <w:rFonts w:ascii="simsun" w:hAnsi="simsun" w:hint="eastAsia"/>
          <w:color w:val="333333"/>
        </w:rPr>
        <w:t>次，最长不超过</w:t>
      </w:r>
      <w:r>
        <w:rPr>
          <w:rFonts w:ascii="simsun" w:hAnsi="simsun"/>
          <w:color w:val="333333"/>
        </w:rPr>
        <w:t>2</w:t>
      </w:r>
      <w:r>
        <w:rPr>
          <w:rFonts w:ascii="simsun" w:hAnsi="simsun" w:hint="eastAsia"/>
          <w:color w:val="333333"/>
        </w:rPr>
        <w:t>年，必要时可根据情况适时评估，租金年度涨幅不超过</w:t>
      </w:r>
      <w:r>
        <w:rPr>
          <w:rFonts w:ascii="simsun" w:hAnsi="simsun"/>
          <w:color w:val="333333"/>
        </w:rPr>
        <w:t>5%</w:t>
      </w:r>
      <w:r>
        <w:rPr>
          <w:rFonts w:ascii="simsun" w:hAnsi="simsun" w:hint="eastAsia"/>
          <w:color w:val="333333"/>
        </w:rPr>
        <w:t>。</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w:t>
      </w:r>
      <w:r>
        <w:rPr>
          <w:rFonts w:ascii="simsun" w:hAnsi="simsun"/>
          <w:color w:val="333333"/>
        </w:rPr>
        <w:t>(</w:t>
      </w:r>
      <w:r>
        <w:rPr>
          <w:rFonts w:ascii="simsun" w:hAnsi="simsun" w:hint="eastAsia"/>
          <w:color w:val="333333"/>
        </w:rPr>
        <w:t>三</w:t>
      </w:r>
      <w:r>
        <w:rPr>
          <w:rFonts w:ascii="simsun" w:hAnsi="simsun"/>
          <w:color w:val="333333"/>
        </w:rPr>
        <w:t>)</w:t>
      </w:r>
      <w:r>
        <w:rPr>
          <w:rFonts w:ascii="simsun" w:hAnsi="simsun" w:hint="eastAsia"/>
          <w:color w:val="333333"/>
        </w:rPr>
        <w:t>规范运营管理。保租房投资建设单位或其委托、授权的第三方运营企业是保租房的管理主体，应制定具体运营管理办法，加强对保租房申请人配租资格的审核，按要求将运营管理办法和配租结果报送项目所在地县级住建部门。所有保租房项目均应纳入泉州市住房租赁服务监管平台统一管理，保租房房源公布、申请、配租、合同签订和合同登记备案，全程在泉州市住房租赁服务监管平台上办理，合同期限一般为</w:t>
      </w:r>
      <w:r>
        <w:rPr>
          <w:rFonts w:ascii="simsun" w:hAnsi="simsun"/>
          <w:color w:val="333333"/>
        </w:rPr>
        <w:t xml:space="preserve">3 </w:t>
      </w:r>
      <w:r>
        <w:rPr>
          <w:rFonts w:ascii="simsun" w:hAnsi="simsun" w:hint="eastAsia"/>
          <w:color w:val="333333"/>
        </w:rPr>
        <w:t>年，最长可设置到</w:t>
      </w:r>
      <w:r>
        <w:rPr>
          <w:rFonts w:ascii="simsun" w:hAnsi="simsun"/>
          <w:color w:val="333333"/>
        </w:rPr>
        <w:t>5</w:t>
      </w:r>
      <w:r>
        <w:rPr>
          <w:rFonts w:ascii="simsun" w:hAnsi="simsun" w:hint="eastAsia"/>
          <w:color w:val="333333"/>
        </w:rPr>
        <w:t>年。持专业化、规模化住房租赁企业建设和运营管理保租房，提升运营管理水平。</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w:t>
      </w:r>
      <w:r>
        <w:rPr>
          <w:rFonts w:ascii="simsun" w:hAnsi="simsun"/>
          <w:color w:val="333333"/>
        </w:rPr>
        <w:t>(</w:t>
      </w:r>
      <w:r>
        <w:rPr>
          <w:rFonts w:ascii="simsun" w:hAnsi="simsun" w:hint="eastAsia"/>
          <w:color w:val="333333"/>
        </w:rPr>
        <w:t>四</w:t>
      </w:r>
      <w:r>
        <w:rPr>
          <w:rFonts w:ascii="simsun" w:hAnsi="simsun"/>
          <w:color w:val="333333"/>
        </w:rPr>
        <w:t>)</w:t>
      </w:r>
      <w:r>
        <w:rPr>
          <w:rFonts w:ascii="simsun" w:hAnsi="simsun" w:hint="eastAsia"/>
          <w:color w:val="333333"/>
        </w:rPr>
        <w:t>严格权属管理。保租房项目应整体确权，在不动产权属证明书上注明</w:t>
      </w:r>
      <w:r>
        <w:rPr>
          <w:rFonts w:ascii="simsun" w:hAnsi="simsun"/>
          <w:color w:val="333333"/>
        </w:rPr>
        <w:t>“</w:t>
      </w:r>
      <w:r>
        <w:rPr>
          <w:rFonts w:ascii="simsun" w:hAnsi="simsun" w:hint="eastAsia"/>
          <w:color w:val="333333"/>
        </w:rPr>
        <w:t>保障性租赁住房</w:t>
      </w:r>
      <w:r>
        <w:rPr>
          <w:rFonts w:ascii="simsun" w:hAnsi="simsun"/>
          <w:color w:val="333333"/>
        </w:rPr>
        <w:t>”</w:t>
      </w:r>
      <w:r>
        <w:rPr>
          <w:rFonts w:ascii="simsun" w:hAnsi="simsun" w:hint="eastAsia"/>
          <w:color w:val="333333"/>
        </w:rPr>
        <w:t>字样及用地性质，不得分割登记、分割转让、分割抵押，不得上市销售或变相销售，严禁以保租房为名违规经营或骗取优惠政策。保租房项目整体转让的，须经属地县级政府批准，保租房性质、土地用途和土地取得方式不变。其中，工业项目范围内建设的保租房须与生产性厂房一并转让，不得单独转让。保租房项目遇征收拆迁，按原土地用途和取得方式进行评估补偿。中心市区新供应国有建设用地集中配建的保租房，产权应无偿移交给泉州市住房保障服务中心。</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w:t>
      </w:r>
      <w:r>
        <w:rPr>
          <w:rFonts w:ascii="simsun" w:hAnsi="simsun"/>
          <w:color w:val="333333"/>
        </w:rPr>
        <w:t>(</w:t>
      </w:r>
      <w:r>
        <w:rPr>
          <w:rFonts w:ascii="simsun" w:hAnsi="simsun" w:hint="eastAsia"/>
          <w:color w:val="333333"/>
        </w:rPr>
        <w:t>五</w:t>
      </w:r>
      <w:r>
        <w:rPr>
          <w:rFonts w:ascii="simsun" w:hAnsi="simsun"/>
          <w:color w:val="333333"/>
        </w:rPr>
        <w:t>)</w:t>
      </w:r>
      <w:r>
        <w:rPr>
          <w:rFonts w:ascii="simsun" w:hAnsi="simsun" w:hint="eastAsia"/>
          <w:color w:val="333333"/>
        </w:rPr>
        <w:t>健全退出机制。利用存量非居住房屋改建</w:t>
      </w:r>
      <w:r>
        <w:rPr>
          <w:rFonts w:ascii="simsun" w:hAnsi="simsun"/>
          <w:color w:val="333333"/>
        </w:rPr>
        <w:t>(</w:t>
      </w:r>
      <w:r>
        <w:rPr>
          <w:rFonts w:ascii="simsun" w:hAnsi="simsun" w:hint="eastAsia"/>
          <w:color w:val="333333"/>
        </w:rPr>
        <w:t>改造</w:t>
      </w:r>
      <w:r>
        <w:rPr>
          <w:rFonts w:ascii="simsun" w:hAnsi="simsun"/>
          <w:color w:val="333333"/>
        </w:rPr>
        <w:t>)</w:t>
      </w:r>
      <w:r>
        <w:rPr>
          <w:rFonts w:ascii="simsun" w:hAnsi="simsun" w:hint="eastAsia"/>
          <w:color w:val="333333"/>
        </w:rPr>
        <w:t>的保租房，运营期限不得超过其土地使用年限，且持续运营期限不低于</w:t>
      </w:r>
      <w:r>
        <w:rPr>
          <w:rFonts w:ascii="simsun" w:hAnsi="simsun"/>
          <w:color w:val="333333"/>
        </w:rPr>
        <w:t>8</w:t>
      </w:r>
      <w:r>
        <w:rPr>
          <w:rFonts w:ascii="simsun" w:hAnsi="simsun" w:hint="eastAsia"/>
          <w:color w:val="333333"/>
        </w:rPr>
        <w:t>年；盘活存量住房资源作为保租房的持续运营期限不低</w:t>
      </w:r>
      <w:r>
        <w:rPr>
          <w:rFonts w:ascii="simsun" w:hAnsi="simsun"/>
          <w:color w:val="333333"/>
        </w:rPr>
        <w:t>10</w:t>
      </w:r>
      <w:r>
        <w:rPr>
          <w:rFonts w:ascii="simsun" w:hAnsi="simsun" w:hint="eastAsia"/>
          <w:color w:val="333333"/>
        </w:rPr>
        <w:t>年；利用新供应国有建设用地、产业园区配套用地、企事业单位自有土地和集体经营性建设用地建设的保租房，原则上不得退出保租房清单，运营期限与土地使用年限一致。对保租房运营年限期满或因房屋征收、土地使用年限到期等客观原因需退出清单管理的，由项目投资建设单位或运营主体提出申请，属地县级政府审核，经市政府同意后，报省级相关部门备案。</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六、保障措施</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w:t>
      </w:r>
      <w:r>
        <w:rPr>
          <w:rFonts w:ascii="simsun" w:hAnsi="simsun"/>
          <w:color w:val="333333"/>
        </w:rPr>
        <w:t>(</w:t>
      </w:r>
      <w:r>
        <w:rPr>
          <w:rFonts w:ascii="simsun" w:hAnsi="simsun" w:hint="eastAsia"/>
          <w:color w:val="333333"/>
        </w:rPr>
        <w:t>一</w:t>
      </w:r>
      <w:r>
        <w:rPr>
          <w:rFonts w:ascii="simsun" w:hAnsi="simsun"/>
          <w:color w:val="333333"/>
        </w:rPr>
        <w:t>)</w:t>
      </w:r>
      <w:r>
        <w:rPr>
          <w:rFonts w:ascii="simsun" w:hAnsi="simsun" w:hint="eastAsia"/>
          <w:color w:val="333333"/>
        </w:rPr>
        <w:t>加强组织领导。市政府成立泉州市保障性租赁住房工作领导小组，统筹领导全市保租房工作，办公室设在市住建局，负责领导小组的日常工作。市住建局会同市发改委、财政局、资源规划局、税务局做好发展保租房情况监测评价工作</w:t>
      </w:r>
      <w:r>
        <w:rPr>
          <w:rFonts w:ascii="simsun" w:hAnsi="simsun"/>
          <w:color w:val="333333"/>
        </w:rPr>
        <w:t>;</w:t>
      </w:r>
      <w:r>
        <w:rPr>
          <w:rFonts w:ascii="simsun" w:hAnsi="simsun" w:hint="eastAsia"/>
          <w:color w:val="333333"/>
        </w:rPr>
        <w:t>市发改委、财政局、资源规划局、金融监管局，市税务局、泉州银保监分局以及水、电、气主管部门按照各自职责，加强政策协调、业务指导降费保障和监督考核，确保各项政策落实到位。</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w:t>
      </w:r>
      <w:r>
        <w:rPr>
          <w:rFonts w:ascii="simsun" w:hAnsi="simsun"/>
          <w:color w:val="333333"/>
        </w:rPr>
        <w:t>(</w:t>
      </w:r>
      <w:r>
        <w:rPr>
          <w:rFonts w:ascii="simsun" w:hAnsi="simsun" w:hint="eastAsia"/>
          <w:color w:val="333333"/>
        </w:rPr>
        <w:t>二</w:t>
      </w:r>
      <w:r>
        <w:rPr>
          <w:rFonts w:ascii="simsun" w:hAnsi="simsun"/>
          <w:color w:val="333333"/>
        </w:rPr>
        <w:t>)</w:t>
      </w:r>
      <w:r>
        <w:rPr>
          <w:rFonts w:ascii="simsun" w:hAnsi="simsun" w:hint="eastAsia"/>
          <w:color w:val="333333"/>
        </w:rPr>
        <w:t>强化监督管理。市发改、住建、城管、市场监督、消防救援部门要根据部门职责加强保租房各方主体的监督管理，加大保租房监督检查，加大对未经批准擅自改变用途等违法违规行为的查处力度。全面建立保租房市场主体信用记录，落实信用评价和联合惩戒机制。</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w:t>
      </w:r>
      <w:r>
        <w:rPr>
          <w:rFonts w:ascii="simsun" w:hAnsi="simsun"/>
          <w:color w:val="333333"/>
        </w:rPr>
        <w:t>(</w:t>
      </w:r>
      <w:r>
        <w:rPr>
          <w:rFonts w:ascii="simsun" w:hAnsi="simsun" w:hint="eastAsia"/>
          <w:color w:val="333333"/>
        </w:rPr>
        <w:t>三</w:t>
      </w:r>
      <w:r>
        <w:rPr>
          <w:rFonts w:ascii="simsun" w:hAnsi="simsun"/>
          <w:color w:val="333333"/>
        </w:rPr>
        <w:t>)</w:t>
      </w:r>
      <w:r>
        <w:rPr>
          <w:rFonts w:ascii="simsun" w:hAnsi="simsun" w:hint="eastAsia"/>
          <w:color w:val="333333"/>
        </w:rPr>
        <w:t>做好政策衔接。属地县级政府要梳理现有住房保障政策基础，衔接好国家住房保障体系，落实好各类支持政策。对符合规定的保租房项目均应纳入保租房规范管理，并及时兑现各类政策资金和税费减免。</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w:t>
      </w:r>
      <w:r>
        <w:rPr>
          <w:rFonts w:ascii="simsun" w:hAnsi="simsun"/>
          <w:color w:val="333333"/>
        </w:rPr>
        <w:t>(</w:t>
      </w:r>
      <w:r>
        <w:rPr>
          <w:rFonts w:ascii="simsun" w:hAnsi="simsun" w:hint="eastAsia"/>
          <w:color w:val="333333"/>
        </w:rPr>
        <w:t>四</w:t>
      </w:r>
      <w:r>
        <w:rPr>
          <w:rFonts w:ascii="simsun" w:hAnsi="simsun"/>
          <w:color w:val="333333"/>
        </w:rPr>
        <w:t>)</w:t>
      </w:r>
      <w:r>
        <w:rPr>
          <w:rFonts w:ascii="simsun" w:hAnsi="simsun" w:hint="eastAsia"/>
          <w:color w:val="333333"/>
        </w:rPr>
        <w:t>加强宣传引导。各级各相关部门要利用报刊、宣传手册及互联网、官网、官微等媒体大力宣传报道保租房的相关政策和知识等，让广大群众和社会各界知晓政策规定、熟知办理流程，充分调动各方推进发展保租房的积极性，形成社会广泛支持、各类主体积极参与的良好局面。</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七、其他事项</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本实施意见适用鲤城区、丰泽区、洛江区、泉州开发区、泉州台商投资区等省政府确定的重点发展城市。支持石狮市、晋江市、南安市、惠安县、德化县等外来人口多的区域，积极向省政府申报列为重点发展城市，大力发展保租房，力争</w:t>
      </w:r>
      <w:r>
        <w:rPr>
          <w:rFonts w:ascii="simsun" w:hAnsi="simsun"/>
          <w:color w:val="333333"/>
        </w:rPr>
        <w:t>“</w:t>
      </w:r>
      <w:r>
        <w:rPr>
          <w:rFonts w:ascii="simsun" w:hAnsi="simsun" w:hint="eastAsia"/>
          <w:color w:val="333333"/>
        </w:rPr>
        <w:t>十四五</w:t>
      </w:r>
      <w:r>
        <w:rPr>
          <w:rFonts w:ascii="simsun" w:hAnsi="simsun"/>
          <w:color w:val="333333"/>
        </w:rPr>
        <w:t>”</w:t>
      </w:r>
      <w:r>
        <w:rPr>
          <w:rFonts w:ascii="simsun" w:hAnsi="simsun" w:hint="eastAsia"/>
          <w:color w:val="333333"/>
        </w:rPr>
        <w:t>期间，分别新增保租房</w:t>
      </w:r>
      <w:r>
        <w:rPr>
          <w:rFonts w:ascii="simsun" w:hAnsi="simsun"/>
          <w:color w:val="333333"/>
        </w:rPr>
        <w:t>3000</w:t>
      </w:r>
      <w:r>
        <w:rPr>
          <w:rFonts w:ascii="simsun" w:hAnsi="simsun" w:hint="eastAsia"/>
          <w:color w:val="333333"/>
        </w:rPr>
        <w:t>、</w:t>
      </w:r>
      <w:r>
        <w:rPr>
          <w:rFonts w:ascii="simsun" w:hAnsi="simsun"/>
          <w:color w:val="333333"/>
        </w:rPr>
        <w:t>12000</w:t>
      </w:r>
      <w:r>
        <w:rPr>
          <w:rFonts w:ascii="simsun" w:hAnsi="simsun" w:hint="eastAsia"/>
          <w:color w:val="333333"/>
        </w:rPr>
        <w:t>、</w:t>
      </w:r>
      <w:r>
        <w:rPr>
          <w:rFonts w:ascii="simsun" w:hAnsi="simsun"/>
          <w:color w:val="333333"/>
        </w:rPr>
        <w:t>5000</w:t>
      </w:r>
      <w:r>
        <w:rPr>
          <w:rFonts w:ascii="simsun" w:hAnsi="simsun" w:hint="eastAsia"/>
          <w:color w:val="333333"/>
        </w:rPr>
        <w:t>、</w:t>
      </w:r>
      <w:r>
        <w:rPr>
          <w:rFonts w:ascii="simsun" w:hAnsi="simsun"/>
          <w:color w:val="333333"/>
        </w:rPr>
        <w:t>1500</w:t>
      </w:r>
      <w:r>
        <w:rPr>
          <w:rFonts w:ascii="simsun" w:hAnsi="simsun" w:hint="eastAsia"/>
          <w:color w:val="333333"/>
        </w:rPr>
        <w:t>、</w:t>
      </w:r>
      <w:r>
        <w:rPr>
          <w:rFonts w:ascii="simsun" w:hAnsi="simsun"/>
          <w:color w:val="333333"/>
        </w:rPr>
        <w:t>1500</w:t>
      </w:r>
      <w:r>
        <w:rPr>
          <w:rFonts w:ascii="simsun" w:hAnsi="simsun" w:hint="eastAsia"/>
          <w:color w:val="333333"/>
        </w:rPr>
        <w:t>套</w:t>
      </w:r>
      <w:r>
        <w:rPr>
          <w:rFonts w:ascii="simsun" w:hAnsi="simsun"/>
          <w:color w:val="333333"/>
        </w:rPr>
        <w:t>(</w:t>
      </w:r>
      <w:r>
        <w:rPr>
          <w:rFonts w:ascii="simsun" w:hAnsi="simsun" w:hint="eastAsia"/>
          <w:color w:val="333333"/>
        </w:rPr>
        <w:t>间</w:t>
      </w:r>
      <w:r>
        <w:rPr>
          <w:rFonts w:ascii="simsun" w:hAnsi="simsun"/>
          <w:color w:val="333333"/>
        </w:rPr>
        <w:t>)</w:t>
      </w:r>
      <w:r>
        <w:rPr>
          <w:rFonts w:ascii="simsun" w:hAnsi="simsun" w:hint="eastAsia"/>
          <w:color w:val="333333"/>
        </w:rPr>
        <w:t>以上，着力解决产业工人的住房问题。其他县</w:t>
      </w:r>
      <w:r>
        <w:rPr>
          <w:rFonts w:ascii="simsun" w:hAnsi="simsun"/>
          <w:color w:val="333333"/>
        </w:rPr>
        <w:t>(</w:t>
      </w:r>
      <w:r>
        <w:rPr>
          <w:rFonts w:ascii="simsun" w:hAnsi="simsun" w:hint="eastAsia"/>
          <w:color w:val="333333"/>
        </w:rPr>
        <w:t>市、区</w:t>
      </w:r>
      <w:r>
        <w:rPr>
          <w:rFonts w:ascii="simsun" w:hAnsi="simsun"/>
          <w:color w:val="333333"/>
        </w:rPr>
        <w:t>)</w:t>
      </w:r>
      <w:r>
        <w:rPr>
          <w:rFonts w:ascii="simsun" w:hAnsi="simsun" w:hint="eastAsia"/>
          <w:color w:val="333333"/>
        </w:rPr>
        <w:t>要结合各自实</w:t>
      </w:r>
      <w:r>
        <w:rPr>
          <w:rFonts w:ascii="simsun" w:hAnsi="simsun"/>
          <w:color w:val="333333"/>
        </w:rPr>
        <w:t xml:space="preserve"> </w:t>
      </w:r>
      <w:r>
        <w:rPr>
          <w:rFonts w:ascii="simsun" w:hAnsi="simsun" w:hint="eastAsia"/>
          <w:color w:val="333333"/>
        </w:rPr>
        <w:t>际需求，大力发展保租房。</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本意见自印发之日起施行，有效期至</w:t>
      </w:r>
      <w:r>
        <w:rPr>
          <w:rFonts w:ascii="simsun" w:hAnsi="simsun"/>
          <w:color w:val="333333"/>
        </w:rPr>
        <w:t>2025</w:t>
      </w:r>
      <w:r>
        <w:rPr>
          <w:rFonts w:ascii="simsun" w:hAnsi="simsun" w:hint="eastAsia"/>
          <w:color w:val="333333"/>
        </w:rPr>
        <w:t>年</w:t>
      </w:r>
      <w:r>
        <w:rPr>
          <w:rFonts w:ascii="simsun" w:hAnsi="simsun"/>
          <w:color w:val="333333"/>
        </w:rPr>
        <w:t>12</w:t>
      </w:r>
      <w:r>
        <w:rPr>
          <w:rFonts w:ascii="simsun" w:hAnsi="simsun" w:hint="eastAsia"/>
          <w:color w:val="333333"/>
        </w:rPr>
        <w:t>月</w:t>
      </w:r>
      <w:r>
        <w:rPr>
          <w:rFonts w:ascii="simsun" w:hAnsi="simsun"/>
          <w:color w:val="333333"/>
        </w:rPr>
        <w:t xml:space="preserve">31 </w:t>
      </w:r>
      <w:r>
        <w:rPr>
          <w:rFonts w:ascii="simsun" w:hAnsi="simsun" w:hint="eastAsia"/>
          <w:color w:val="333333"/>
        </w:rPr>
        <w:t>日。</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附件：</w:t>
      </w:r>
      <w:r>
        <w:rPr>
          <w:rFonts w:ascii="simsun" w:hAnsi="simsun"/>
          <w:color w:val="333333"/>
        </w:rPr>
        <w:t xml:space="preserve"> 1.</w:t>
      </w:r>
      <w:r>
        <w:rPr>
          <w:rFonts w:ascii="simsun" w:hAnsi="simsun" w:hint="eastAsia"/>
          <w:color w:val="333333"/>
        </w:rPr>
        <w:t>泉州市保障性租赁住房工作领导小组成员名单及工作职责</w:t>
      </w:r>
    </w:p>
    <w:p w:rsidR="001A29D0" w:rsidRDefault="001A29D0" w:rsidP="00827CAD">
      <w:pPr>
        <w:pStyle w:val="b-free-read-leaf"/>
        <w:shd w:val="clear" w:color="auto" w:fill="FFFFFF"/>
        <w:snapToGrid w:val="0"/>
        <w:spacing w:before="0" w:beforeAutospacing="0" w:after="0" w:afterAutospacing="0"/>
        <w:rPr>
          <w:rFonts w:ascii="simsun" w:hAnsi="simsun"/>
          <w:color w:val="333333"/>
        </w:rPr>
      </w:pPr>
      <w:r>
        <w:rPr>
          <w:rFonts w:ascii="simsun" w:hAnsi="simsun" w:hint="eastAsia"/>
          <w:color w:val="333333"/>
        </w:rPr>
        <w:t xml:space="preserve">　　</w:t>
      </w:r>
      <w:r>
        <w:rPr>
          <w:rFonts w:ascii="simsun" w:hAnsi="simsun"/>
          <w:color w:val="333333"/>
        </w:rPr>
        <w:t>2. “</w:t>
      </w:r>
      <w:r>
        <w:rPr>
          <w:rFonts w:ascii="simsun" w:hAnsi="simsun" w:hint="eastAsia"/>
          <w:color w:val="333333"/>
        </w:rPr>
        <w:t>十四五</w:t>
      </w:r>
      <w:r>
        <w:rPr>
          <w:rFonts w:ascii="simsun" w:hAnsi="simsun"/>
          <w:color w:val="333333"/>
        </w:rPr>
        <w:t>”</w:t>
      </w:r>
      <w:r>
        <w:rPr>
          <w:rFonts w:ascii="simsun" w:hAnsi="simsun" w:hint="eastAsia"/>
          <w:color w:val="333333"/>
        </w:rPr>
        <w:t>期间保障性租赁住房任务分解表</w:t>
      </w:r>
    </w:p>
    <w:p w:rsidR="001A29D0" w:rsidRDefault="001A29D0" w:rsidP="00827CAD">
      <w:pPr>
        <w:pStyle w:val="NormalWeb"/>
        <w:shd w:val="clear" w:color="auto" w:fill="FFFFFF"/>
        <w:spacing w:before="270" w:beforeAutospacing="0" w:after="0" w:afterAutospacing="0"/>
        <w:rPr>
          <w:rFonts w:ascii="simsun" w:hAnsi="simsun"/>
          <w:color w:val="333333"/>
        </w:rPr>
      </w:pPr>
      <w:r>
        <w:rPr>
          <w:rFonts w:ascii="simsun" w:hAnsi="simsun" w:hint="eastAsia"/>
          <w:color w:val="333333"/>
        </w:rPr>
        <w:t xml:space="preserve">　　</w:t>
      </w:r>
    </w:p>
    <w:p w:rsidR="001A29D0" w:rsidRDefault="001A29D0" w:rsidP="00827CAD">
      <w:pPr>
        <w:pStyle w:val="b-free-read-leaf"/>
        <w:shd w:val="clear" w:color="auto" w:fill="FFFFFF"/>
        <w:spacing w:before="0" w:beforeAutospacing="0" w:after="0" w:afterAutospacing="0"/>
        <w:jc w:val="right"/>
        <w:rPr>
          <w:rFonts w:ascii="simsun" w:hAnsi="simsun"/>
          <w:color w:val="333333"/>
        </w:rPr>
      </w:pPr>
      <w:r>
        <w:rPr>
          <w:rFonts w:ascii="simsun" w:hAnsi="simsun" w:hint="eastAsia"/>
          <w:color w:val="333333"/>
        </w:rPr>
        <w:t>泉州市人民政府办公室</w:t>
      </w:r>
    </w:p>
    <w:p w:rsidR="001A29D0" w:rsidRDefault="001A29D0" w:rsidP="00827CAD">
      <w:pPr>
        <w:pStyle w:val="b-free-read-leaf"/>
        <w:shd w:val="clear" w:color="auto" w:fill="FFFFFF"/>
        <w:spacing w:before="0" w:beforeAutospacing="0" w:after="0" w:afterAutospacing="0"/>
        <w:jc w:val="right"/>
        <w:rPr>
          <w:rFonts w:ascii="simsun" w:hAnsi="simsun"/>
          <w:color w:val="333333"/>
        </w:rPr>
      </w:pPr>
      <w:r>
        <w:rPr>
          <w:rFonts w:ascii="simsun" w:hAnsi="simsun" w:hint="eastAsia"/>
          <w:color w:val="333333"/>
        </w:rPr>
        <w:t xml:space="preserve">　　</w:t>
      </w:r>
      <w:r>
        <w:rPr>
          <w:rFonts w:ascii="simsun" w:hAnsi="simsun"/>
          <w:color w:val="333333"/>
        </w:rPr>
        <w:t>2022</w:t>
      </w:r>
      <w:r>
        <w:rPr>
          <w:rFonts w:ascii="simsun" w:hAnsi="simsun" w:hint="eastAsia"/>
          <w:color w:val="333333"/>
        </w:rPr>
        <w:t>年</w:t>
      </w:r>
      <w:r>
        <w:rPr>
          <w:rFonts w:ascii="simsun" w:hAnsi="simsun"/>
          <w:color w:val="333333"/>
        </w:rPr>
        <w:t>8</w:t>
      </w:r>
      <w:r>
        <w:rPr>
          <w:rFonts w:ascii="simsun" w:hAnsi="simsun" w:hint="eastAsia"/>
          <w:color w:val="333333"/>
        </w:rPr>
        <w:t>月</w:t>
      </w:r>
      <w:r>
        <w:rPr>
          <w:rFonts w:ascii="simsun" w:hAnsi="simsun"/>
          <w:color w:val="333333"/>
        </w:rPr>
        <w:t>24</w:t>
      </w:r>
      <w:r>
        <w:rPr>
          <w:rFonts w:ascii="simsun" w:hAnsi="simsun" w:hint="eastAsia"/>
          <w:color w:val="333333"/>
        </w:rPr>
        <w:t>日</w:t>
      </w:r>
      <w:r>
        <w:rPr>
          <w:rFonts w:ascii="simsun" w:hAnsi="simsun"/>
          <w:color w:val="333333"/>
        </w:rPr>
        <w:t> </w:t>
      </w:r>
    </w:p>
    <w:p w:rsidR="001A29D0" w:rsidRDefault="001A29D0">
      <w:pPr>
        <w:spacing w:line="560" w:lineRule="exact"/>
        <w:rPr>
          <w:rFonts w:ascii="宋体" w:hAnsi="宋体" w:cs="宋体"/>
          <w:b/>
          <w:bCs/>
          <w:sz w:val="32"/>
          <w:szCs w:val="32"/>
        </w:rPr>
      </w:pPr>
    </w:p>
    <w:p w:rsidR="001A29D0" w:rsidRDefault="001A29D0">
      <w:pPr>
        <w:spacing w:line="560" w:lineRule="exact"/>
        <w:rPr>
          <w:rFonts w:ascii="宋体" w:hAnsi="宋体" w:cs="宋体"/>
          <w:b/>
          <w:bCs/>
          <w:sz w:val="32"/>
          <w:szCs w:val="32"/>
        </w:rPr>
      </w:pPr>
    </w:p>
    <w:p w:rsidR="001A29D0" w:rsidRDefault="001A29D0">
      <w:pPr>
        <w:spacing w:line="560" w:lineRule="exact"/>
        <w:rPr>
          <w:rFonts w:ascii="宋体" w:hAnsi="宋体" w:cs="宋体"/>
          <w:b/>
          <w:bCs/>
          <w:sz w:val="32"/>
          <w:szCs w:val="32"/>
        </w:rPr>
      </w:pPr>
    </w:p>
    <w:p w:rsidR="001A29D0" w:rsidRDefault="001A29D0">
      <w:pPr>
        <w:spacing w:line="560" w:lineRule="exact"/>
        <w:rPr>
          <w:rFonts w:ascii="宋体" w:hAnsi="宋体" w:cs="宋体"/>
          <w:b/>
          <w:bCs/>
          <w:sz w:val="32"/>
          <w:szCs w:val="32"/>
        </w:rPr>
      </w:pPr>
    </w:p>
    <w:p w:rsidR="001A29D0" w:rsidRDefault="001A29D0">
      <w:pPr>
        <w:spacing w:line="560" w:lineRule="exact"/>
        <w:rPr>
          <w:rFonts w:ascii="宋体" w:hAnsi="宋体" w:cs="宋体"/>
          <w:b/>
          <w:bCs/>
          <w:sz w:val="32"/>
          <w:szCs w:val="32"/>
        </w:rPr>
      </w:pPr>
    </w:p>
    <w:p w:rsidR="001A29D0" w:rsidRDefault="001A29D0">
      <w:pPr>
        <w:spacing w:line="560" w:lineRule="exact"/>
        <w:rPr>
          <w:rFonts w:ascii="宋体" w:hAnsi="宋体" w:cs="宋体"/>
          <w:b/>
          <w:bCs/>
          <w:sz w:val="32"/>
          <w:szCs w:val="32"/>
        </w:rPr>
      </w:pPr>
    </w:p>
    <w:p w:rsidR="001A29D0" w:rsidRDefault="001A29D0">
      <w:pPr>
        <w:spacing w:line="560" w:lineRule="exact"/>
        <w:rPr>
          <w:rFonts w:ascii="宋体" w:hAnsi="宋体" w:cs="宋体"/>
          <w:b/>
          <w:bCs/>
          <w:sz w:val="32"/>
          <w:szCs w:val="32"/>
        </w:rPr>
      </w:pPr>
    </w:p>
    <w:p w:rsidR="001A29D0" w:rsidRDefault="001A29D0">
      <w:pPr>
        <w:spacing w:line="560" w:lineRule="exact"/>
        <w:rPr>
          <w:rFonts w:ascii="宋体" w:hAnsi="宋体" w:cs="宋体"/>
          <w:b/>
          <w:bCs/>
          <w:sz w:val="32"/>
          <w:szCs w:val="32"/>
        </w:rPr>
      </w:pPr>
    </w:p>
    <w:p w:rsidR="001A29D0" w:rsidRDefault="001A29D0">
      <w:pPr>
        <w:spacing w:line="560" w:lineRule="exact"/>
        <w:rPr>
          <w:rFonts w:ascii="宋体" w:hAnsi="宋体" w:cs="宋体"/>
          <w:b/>
          <w:bCs/>
          <w:sz w:val="32"/>
          <w:szCs w:val="32"/>
        </w:rPr>
      </w:pPr>
    </w:p>
    <w:p w:rsidR="001A29D0" w:rsidRDefault="001A29D0">
      <w:pPr>
        <w:spacing w:line="560" w:lineRule="exact"/>
        <w:rPr>
          <w:rFonts w:ascii="宋体" w:hAnsi="宋体" w:cs="宋体"/>
          <w:b/>
          <w:bCs/>
          <w:sz w:val="32"/>
          <w:szCs w:val="32"/>
        </w:rPr>
      </w:pPr>
    </w:p>
    <w:p w:rsidR="001A29D0" w:rsidRDefault="001A29D0">
      <w:pPr>
        <w:spacing w:line="560" w:lineRule="exact"/>
        <w:rPr>
          <w:rFonts w:ascii="宋体" w:hAnsi="宋体" w:cs="宋体"/>
          <w:b/>
          <w:bCs/>
          <w:sz w:val="32"/>
          <w:szCs w:val="32"/>
        </w:rPr>
      </w:pPr>
    </w:p>
    <w:p w:rsidR="001A29D0" w:rsidRDefault="001A29D0">
      <w:pPr>
        <w:spacing w:line="560" w:lineRule="exact"/>
        <w:rPr>
          <w:rFonts w:ascii="宋体" w:hAnsi="宋体" w:cs="宋体"/>
          <w:b/>
          <w:bCs/>
          <w:sz w:val="32"/>
          <w:szCs w:val="32"/>
        </w:rPr>
      </w:pPr>
    </w:p>
    <w:p w:rsidR="001A29D0" w:rsidRDefault="001A29D0">
      <w:pPr>
        <w:spacing w:line="560" w:lineRule="exact"/>
        <w:rPr>
          <w:rFonts w:ascii="宋体" w:hAnsi="宋体" w:cs="宋体"/>
          <w:b/>
          <w:bCs/>
          <w:sz w:val="32"/>
          <w:szCs w:val="32"/>
        </w:rPr>
      </w:pPr>
    </w:p>
    <w:p w:rsidR="001A29D0" w:rsidRDefault="001A29D0">
      <w:pPr>
        <w:spacing w:line="560" w:lineRule="exact"/>
        <w:rPr>
          <w:rFonts w:ascii="宋体" w:hAnsi="宋体" w:cs="宋体"/>
          <w:b/>
          <w:bCs/>
          <w:sz w:val="32"/>
          <w:szCs w:val="32"/>
        </w:rPr>
      </w:pPr>
    </w:p>
    <w:p w:rsidR="001A29D0" w:rsidRDefault="001A29D0">
      <w:pPr>
        <w:spacing w:line="560" w:lineRule="exact"/>
        <w:rPr>
          <w:rFonts w:ascii="宋体" w:hAnsi="宋体" w:cs="宋体"/>
          <w:b/>
          <w:bCs/>
          <w:sz w:val="32"/>
          <w:szCs w:val="32"/>
        </w:rPr>
      </w:pPr>
    </w:p>
    <w:p w:rsidR="001A29D0" w:rsidRDefault="001A29D0">
      <w:pPr>
        <w:spacing w:line="560" w:lineRule="exact"/>
        <w:rPr>
          <w:rFonts w:ascii="宋体" w:hAnsi="宋体" w:cs="宋体"/>
          <w:b/>
          <w:bCs/>
          <w:sz w:val="32"/>
          <w:szCs w:val="32"/>
        </w:rPr>
      </w:pPr>
    </w:p>
    <w:p w:rsidR="001A29D0" w:rsidRDefault="001A29D0">
      <w:pPr>
        <w:spacing w:line="560" w:lineRule="exact"/>
        <w:rPr>
          <w:rFonts w:ascii="宋体" w:hAnsi="宋体" w:cs="宋体"/>
          <w:b/>
          <w:bCs/>
          <w:sz w:val="32"/>
          <w:szCs w:val="32"/>
        </w:rPr>
      </w:pPr>
    </w:p>
    <w:p w:rsidR="001A29D0" w:rsidRDefault="001A29D0">
      <w:pPr>
        <w:spacing w:line="560" w:lineRule="exact"/>
        <w:rPr>
          <w:rFonts w:ascii="宋体" w:hAnsi="宋体" w:cs="宋体"/>
          <w:b/>
          <w:bCs/>
          <w:sz w:val="32"/>
          <w:szCs w:val="32"/>
        </w:rPr>
      </w:pPr>
    </w:p>
    <w:p w:rsidR="001A29D0" w:rsidRDefault="001A29D0">
      <w:pPr>
        <w:spacing w:line="560" w:lineRule="exact"/>
        <w:rPr>
          <w:rFonts w:ascii="宋体" w:hAnsi="宋体" w:cs="宋体"/>
          <w:b/>
          <w:bCs/>
          <w:sz w:val="32"/>
          <w:szCs w:val="32"/>
        </w:rPr>
      </w:pPr>
      <w:r>
        <w:rPr>
          <w:rFonts w:ascii="宋体" w:hAnsi="宋体" w:cs="宋体" w:hint="eastAsia"/>
          <w:b/>
          <w:bCs/>
          <w:sz w:val="32"/>
          <w:szCs w:val="32"/>
        </w:rPr>
        <w:t>附件</w:t>
      </w:r>
      <w:r>
        <w:rPr>
          <w:rFonts w:ascii="宋体" w:hAnsi="宋体" w:cs="宋体"/>
          <w:b/>
          <w:bCs/>
          <w:sz w:val="32"/>
          <w:szCs w:val="32"/>
        </w:rPr>
        <w:t>1</w:t>
      </w:r>
    </w:p>
    <w:p w:rsidR="001A29D0" w:rsidRDefault="001A29D0" w:rsidP="00827CAD">
      <w:pPr>
        <w:spacing w:line="560" w:lineRule="exact"/>
        <w:ind w:firstLineChars="200" w:firstLine="31680"/>
        <w:rPr>
          <w:rFonts w:ascii="仿宋_GB2312" w:eastAsia="仿宋_GB2312" w:hAnsi="仿宋_GB2312" w:cs="仿宋_GB2312"/>
          <w:sz w:val="32"/>
          <w:szCs w:val="32"/>
        </w:rPr>
      </w:pPr>
    </w:p>
    <w:p w:rsidR="001A29D0" w:rsidRDefault="001A29D0">
      <w:pPr>
        <w:spacing w:line="560" w:lineRule="exact"/>
        <w:jc w:val="center"/>
        <w:rPr>
          <w:rFonts w:ascii="宋体" w:hAnsi="宋体" w:cs="宋体"/>
          <w:b/>
          <w:bCs/>
          <w:sz w:val="44"/>
          <w:szCs w:val="44"/>
        </w:rPr>
      </w:pPr>
      <w:r>
        <w:rPr>
          <w:rFonts w:ascii="宋体" w:hAnsi="宋体" w:cs="宋体" w:hint="eastAsia"/>
          <w:b/>
          <w:bCs/>
          <w:sz w:val="44"/>
          <w:szCs w:val="44"/>
        </w:rPr>
        <w:t>泉州市保障性租赁住房工作</w:t>
      </w:r>
    </w:p>
    <w:p w:rsidR="001A29D0" w:rsidRDefault="001A29D0">
      <w:pPr>
        <w:spacing w:line="560" w:lineRule="exact"/>
        <w:jc w:val="center"/>
        <w:rPr>
          <w:rFonts w:ascii="宋体" w:hAnsi="宋体" w:cs="宋体"/>
          <w:b/>
          <w:bCs/>
          <w:sz w:val="44"/>
          <w:szCs w:val="44"/>
        </w:rPr>
      </w:pPr>
      <w:r>
        <w:rPr>
          <w:rFonts w:ascii="宋体" w:hAnsi="宋体" w:cs="宋体" w:hint="eastAsia"/>
          <w:b/>
          <w:bCs/>
          <w:sz w:val="44"/>
          <w:szCs w:val="44"/>
        </w:rPr>
        <w:t>领导小组成员名单及工作职责</w:t>
      </w:r>
    </w:p>
    <w:p w:rsidR="001A29D0" w:rsidRDefault="001A29D0" w:rsidP="00827CAD">
      <w:pPr>
        <w:spacing w:line="560" w:lineRule="exact"/>
        <w:ind w:firstLineChars="200" w:firstLine="31680"/>
        <w:rPr>
          <w:rFonts w:ascii="仿宋_GB2312" w:eastAsia="仿宋_GB2312" w:hAnsi="仿宋_GB2312" w:cs="仿宋_GB2312"/>
          <w:sz w:val="32"/>
          <w:szCs w:val="32"/>
        </w:rPr>
      </w:pPr>
    </w:p>
    <w:p w:rsidR="001A29D0" w:rsidRDefault="001A29D0" w:rsidP="00827CAD">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为加强我市保障性租赁住房发展工作的统筹组织、协调推进、督促指导和监测评价，统筹协调保障性租赁住房政策落地实施，决定成立泉州市保障性租赁住房工作领导小组，成员名单如下：</w:t>
      </w:r>
    </w:p>
    <w:p w:rsidR="001A29D0" w:rsidRDefault="001A29D0" w:rsidP="00827CAD">
      <w:pPr>
        <w:spacing w:line="560" w:lineRule="exact"/>
        <w:ind w:firstLineChars="200" w:firstLine="31680"/>
        <w:rPr>
          <w:rFonts w:ascii="黑体" w:eastAsia="黑体" w:hAnsi="黑体" w:cs="黑体"/>
          <w:sz w:val="32"/>
          <w:szCs w:val="32"/>
        </w:rPr>
      </w:pPr>
      <w:r>
        <w:rPr>
          <w:rFonts w:ascii="黑体" w:eastAsia="黑体" w:hAnsi="黑体" w:cs="黑体" w:hint="eastAsia"/>
          <w:sz w:val="32"/>
          <w:szCs w:val="32"/>
        </w:rPr>
        <w:t>一、人员组成</w:t>
      </w:r>
    </w:p>
    <w:p w:rsidR="001A29D0" w:rsidRDefault="001A29D0" w:rsidP="00827CAD">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b/>
          <w:bCs/>
          <w:sz w:val="32"/>
          <w:szCs w:val="32"/>
        </w:rPr>
        <w:t>组</w:t>
      </w:r>
      <w:r>
        <w:rPr>
          <w:rFonts w:ascii="仿宋_GB2312" w:eastAsia="仿宋_GB2312" w:hAnsi="仿宋_GB2312" w:cs="仿宋_GB2312"/>
          <w:b/>
          <w:bCs/>
          <w:sz w:val="32"/>
          <w:szCs w:val="32"/>
        </w:rPr>
        <w:t xml:space="preserve">  </w:t>
      </w:r>
      <w:r>
        <w:rPr>
          <w:rFonts w:ascii="仿宋_GB2312" w:eastAsia="仿宋_GB2312" w:hAnsi="仿宋_GB2312" w:cs="仿宋_GB2312" w:hint="eastAsia"/>
          <w:b/>
          <w:bCs/>
          <w:sz w:val="32"/>
          <w:szCs w:val="32"/>
        </w:rPr>
        <w:t>长：</w:t>
      </w:r>
      <w:r>
        <w:rPr>
          <w:rFonts w:ascii="仿宋_GB2312" w:eastAsia="仿宋_GB2312" w:hAnsi="仿宋_GB2312" w:cs="仿宋_GB2312" w:hint="eastAsia"/>
          <w:sz w:val="32"/>
          <w:szCs w:val="32"/>
        </w:rPr>
        <w:t>蔡天守市人民政府副市长</w:t>
      </w:r>
    </w:p>
    <w:p w:rsidR="001A29D0" w:rsidRDefault="001A29D0" w:rsidP="00827CAD">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b/>
          <w:bCs/>
          <w:sz w:val="32"/>
          <w:szCs w:val="32"/>
        </w:rPr>
        <w:t>副组长：</w:t>
      </w:r>
      <w:r>
        <w:rPr>
          <w:rFonts w:ascii="仿宋_GB2312" w:eastAsia="仿宋_GB2312" w:hAnsi="仿宋_GB2312" w:cs="仿宋_GB2312" w:hint="eastAsia"/>
          <w:sz w:val="32"/>
          <w:szCs w:val="32"/>
        </w:rPr>
        <w:t>刘云峰市人民政府副秘书长</w:t>
      </w:r>
    </w:p>
    <w:p w:rsidR="001A29D0" w:rsidRDefault="001A29D0" w:rsidP="00827CAD">
      <w:pPr>
        <w:spacing w:line="560" w:lineRule="exact"/>
        <w:ind w:firstLineChars="6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张志铭市住建局局长</w:t>
      </w:r>
    </w:p>
    <w:p w:rsidR="001A29D0" w:rsidRDefault="001A29D0" w:rsidP="00827CAD">
      <w:pPr>
        <w:spacing w:line="560" w:lineRule="exact"/>
        <w:ind w:firstLineChars="200" w:firstLine="31680"/>
        <w:rPr>
          <w:rFonts w:ascii="仿宋_GB2312" w:eastAsia="仿宋_GB2312" w:hAnsi="仿宋_GB2312" w:cs="仿宋_GB2312"/>
          <w:sz w:val="32"/>
          <w:szCs w:val="32"/>
        </w:rPr>
      </w:pPr>
      <w:r>
        <w:rPr>
          <w:rFonts w:ascii="仿宋_GB2312" w:eastAsia="仿宋_GB2312" w:hAnsi="仿宋_GB2312" w:cs="仿宋_GB2312" w:hint="eastAsia"/>
          <w:b/>
          <w:bCs/>
          <w:sz w:val="32"/>
          <w:szCs w:val="32"/>
        </w:rPr>
        <w:t>成</w:t>
      </w:r>
      <w:r>
        <w:rPr>
          <w:rFonts w:ascii="仿宋_GB2312" w:eastAsia="仿宋_GB2312" w:hAnsi="仿宋_GB2312" w:cs="仿宋_GB2312"/>
          <w:b/>
          <w:bCs/>
          <w:sz w:val="32"/>
          <w:szCs w:val="32"/>
        </w:rPr>
        <w:t xml:space="preserve">  </w:t>
      </w:r>
      <w:r>
        <w:rPr>
          <w:rFonts w:ascii="仿宋_GB2312" w:eastAsia="仿宋_GB2312" w:hAnsi="仿宋_GB2312" w:cs="仿宋_GB2312" w:hint="eastAsia"/>
          <w:b/>
          <w:bCs/>
          <w:sz w:val="32"/>
          <w:szCs w:val="32"/>
        </w:rPr>
        <w:t>员：</w:t>
      </w:r>
      <w:r>
        <w:rPr>
          <w:rFonts w:ascii="仿宋_GB2312" w:eastAsia="仿宋_GB2312" w:hAnsi="仿宋_GB2312" w:cs="仿宋_GB2312" w:hint="eastAsia"/>
          <w:sz w:val="32"/>
          <w:szCs w:val="32"/>
        </w:rPr>
        <w:t>林合龙</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市发改委副主任</w:t>
      </w:r>
    </w:p>
    <w:p w:rsidR="001A29D0" w:rsidRDefault="001A29D0" w:rsidP="00827CAD">
      <w:pPr>
        <w:spacing w:line="560" w:lineRule="exact"/>
        <w:ind w:firstLineChars="6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任秀斌</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市财政局二级调研员</w:t>
      </w:r>
    </w:p>
    <w:p w:rsidR="001A29D0" w:rsidRDefault="001A29D0" w:rsidP="00827CAD">
      <w:pPr>
        <w:spacing w:line="560" w:lineRule="exact"/>
        <w:ind w:firstLineChars="6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王珏</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市资源规划局副局长</w:t>
      </w:r>
    </w:p>
    <w:p w:rsidR="001A29D0" w:rsidRDefault="001A29D0" w:rsidP="00827CAD">
      <w:pPr>
        <w:spacing w:line="560" w:lineRule="exact"/>
        <w:ind w:firstLineChars="6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徐以宏</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市住建局党组成员、三级调研员</w:t>
      </w:r>
    </w:p>
    <w:p w:rsidR="001A29D0" w:rsidRDefault="001A29D0" w:rsidP="00827CAD">
      <w:pPr>
        <w:spacing w:line="560" w:lineRule="exact"/>
        <w:ind w:firstLineChars="6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林</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鹏</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市国资委副主任</w:t>
      </w:r>
    </w:p>
    <w:p w:rsidR="001A29D0" w:rsidRDefault="001A29D0" w:rsidP="00827CAD">
      <w:pPr>
        <w:spacing w:line="560" w:lineRule="exact"/>
        <w:ind w:firstLineChars="6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刘建军</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市市场监管局副局长</w:t>
      </w:r>
    </w:p>
    <w:p w:rsidR="001A29D0" w:rsidRDefault="001A29D0" w:rsidP="00827CAD">
      <w:pPr>
        <w:spacing w:line="560" w:lineRule="exact"/>
        <w:ind w:firstLineChars="6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林育新</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市金融监管局副局长</w:t>
      </w:r>
    </w:p>
    <w:p w:rsidR="001A29D0" w:rsidRDefault="001A29D0" w:rsidP="00827CAD">
      <w:pPr>
        <w:spacing w:line="560" w:lineRule="exact"/>
        <w:ind w:firstLineChars="6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黄少军</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市城管局四级调研员</w:t>
      </w:r>
    </w:p>
    <w:p w:rsidR="001A29D0" w:rsidRDefault="001A29D0" w:rsidP="00827CAD">
      <w:pPr>
        <w:spacing w:line="560" w:lineRule="exact"/>
        <w:ind w:firstLineChars="6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黄松青</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市税务局二级高级主办</w:t>
      </w:r>
    </w:p>
    <w:p w:rsidR="001A29D0" w:rsidRDefault="001A29D0" w:rsidP="00827CAD">
      <w:pPr>
        <w:spacing w:line="560" w:lineRule="exact"/>
        <w:ind w:firstLineChars="6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苏志鑫</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人民银行泉州市中心支行副行长</w:t>
      </w:r>
    </w:p>
    <w:p w:rsidR="001A29D0" w:rsidRDefault="001A29D0" w:rsidP="00827CAD">
      <w:pPr>
        <w:spacing w:line="560" w:lineRule="exact"/>
        <w:ind w:firstLineChars="6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陆宇锋</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泉州银保监分局副局长</w:t>
      </w:r>
    </w:p>
    <w:p w:rsidR="001A29D0" w:rsidRDefault="001A29D0" w:rsidP="00827CAD">
      <w:pPr>
        <w:spacing w:line="560" w:lineRule="exact"/>
        <w:ind w:firstLineChars="600" w:firstLine="31680"/>
        <w:rPr>
          <w:rFonts w:ascii="仿宋_GB2312" w:eastAsia="仿宋_GB2312" w:hAnsi="仿宋_GB2312" w:cs="仿宋_GB2312"/>
          <w:sz w:val="32"/>
          <w:szCs w:val="32"/>
        </w:rPr>
      </w:pPr>
      <w:r>
        <w:rPr>
          <w:rFonts w:ascii="仿宋_GB2312" w:eastAsia="仿宋_GB2312" w:hAnsi="仿宋_GB2312" w:cs="仿宋_GB2312" w:hint="eastAsia"/>
          <w:sz w:val="32"/>
          <w:szCs w:val="32"/>
        </w:rPr>
        <w:t>李晓云</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国网泉州供电公司副总经理</w:t>
      </w:r>
    </w:p>
    <w:p w:rsidR="001A29D0" w:rsidRDefault="001A29D0" w:rsidP="00827CAD">
      <w:pPr>
        <w:spacing w:line="56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领导小组下设办公室，设在市住建局，承担领导小组的日常工作，负责沟通协调，并按照例会会商机制，统筹协调推进保障性租赁住房项目征集、认定、建设、运营、监管工作。办公室主任由张志铭同志兼任，办公室副主任由林合龙、任秀斌、王珏、徐以宏同志兼任，成员由领导小组成员单位业务科室负责同志担任。</w:t>
      </w:r>
    </w:p>
    <w:p w:rsidR="001A29D0" w:rsidRDefault="001A29D0" w:rsidP="00827CAD">
      <w:pPr>
        <w:spacing w:line="56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按实现保租房运营管理专业化、精细化、现代化、规模化的要求，在现有国有企业中选择</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家企业专门负责中心市区国有保障性租赁住房的统一规划、建设、运营、管理等具体工作，由领导小组办公室对其进行业务管理和日常考核。</w:t>
      </w:r>
    </w:p>
    <w:p w:rsidR="001A29D0" w:rsidRDefault="001A29D0" w:rsidP="00827CAD">
      <w:pPr>
        <w:spacing w:line="560" w:lineRule="exact"/>
        <w:ind w:firstLineChars="200" w:firstLine="31680"/>
        <w:rPr>
          <w:rFonts w:ascii="黑体" w:eastAsia="黑体" w:hAnsi="黑体" w:cs="黑体"/>
          <w:sz w:val="32"/>
          <w:szCs w:val="32"/>
        </w:rPr>
      </w:pPr>
      <w:r>
        <w:rPr>
          <w:rFonts w:ascii="黑体" w:eastAsia="黑体" w:hAnsi="黑体" w:cs="黑体" w:hint="eastAsia"/>
          <w:sz w:val="32"/>
          <w:szCs w:val="32"/>
        </w:rPr>
        <w:t>二、工作职责</w:t>
      </w:r>
    </w:p>
    <w:p w:rsidR="001A29D0" w:rsidRDefault="001A29D0" w:rsidP="00827CAD">
      <w:pPr>
        <w:spacing w:line="56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一</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贯彻落实上级关于发展保障性租赁住房决策部署以及市委、市政府工作要求，研究提出我市发展保障性租赁住房的政策措施。</w:t>
      </w:r>
    </w:p>
    <w:p w:rsidR="001A29D0" w:rsidRDefault="001A29D0" w:rsidP="00827CAD">
      <w:pPr>
        <w:spacing w:line="56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二</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统筹、协调、推进我市保障性租赁住房工作，协调解决保障性租赁住房推进工作中遇到的问题。</w:t>
      </w:r>
    </w:p>
    <w:p w:rsidR="001A29D0" w:rsidRDefault="001A29D0" w:rsidP="00827CAD">
      <w:pPr>
        <w:spacing w:line="56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三</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研究制定我市保障性租赁住房年度工作计划并组织实施。</w:t>
      </w:r>
    </w:p>
    <w:p w:rsidR="001A29D0" w:rsidRDefault="001A29D0" w:rsidP="00827CAD">
      <w:pPr>
        <w:spacing w:line="56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四</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研究申报中央、省级补助资金需求规模，提出市级配套资金建议。</w:t>
      </w:r>
    </w:p>
    <w:p w:rsidR="001A29D0" w:rsidRDefault="001A29D0" w:rsidP="00827CAD">
      <w:pPr>
        <w:spacing w:line="56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五</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跟踪掌握、汇总统计保障性租赁住房建设情况，指导地方做好实施保障性租赁住房有关工作，并督促检查地方保障性租赁住房实施进度。</w:t>
      </w:r>
    </w:p>
    <w:p w:rsidR="001A29D0" w:rsidRDefault="001A29D0" w:rsidP="00827CAD">
      <w:pPr>
        <w:spacing w:line="56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六</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指导有发展保障性租赁住房需求的地区申报列入发展保障性租赁住房城市。</w:t>
      </w:r>
    </w:p>
    <w:p w:rsidR="001A29D0" w:rsidRDefault="001A29D0" w:rsidP="00827CAD">
      <w:pPr>
        <w:spacing w:line="56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七</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完成领导小组交办的其他事项。</w:t>
      </w:r>
    </w:p>
    <w:p w:rsidR="001A29D0" w:rsidRDefault="001A29D0" w:rsidP="00827CAD">
      <w:pPr>
        <w:spacing w:line="560" w:lineRule="exact"/>
        <w:ind w:firstLineChars="200" w:firstLine="31680"/>
        <w:rPr>
          <w:rFonts w:ascii="黑体" w:eastAsia="黑体" w:hAnsi="黑体" w:cs="黑体"/>
          <w:sz w:val="32"/>
          <w:szCs w:val="32"/>
        </w:rPr>
      </w:pPr>
      <w:r>
        <w:rPr>
          <w:rFonts w:ascii="黑体" w:eastAsia="黑体" w:hAnsi="黑体" w:cs="黑体" w:hint="eastAsia"/>
          <w:sz w:val="32"/>
          <w:szCs w:val="32"/>
        </w:rPr>
        <w:t>三、部门分工</w:t>
      </w:r>
    </w:p>
    <w:p w:rsidR="001A29D0" w:rsidRDefault="001A29D0" w:rsidP="00827CAD">
      <w:pPr>
        <w:spacing w:line="56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一</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市住建局：承担领导小组日常工作，负责牵头会同有关部门提出保障性租赁住房规划和年度计划，牵头组织实施保障</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性租赁住房规划和计划，汇总统计保障性租赁住房建设情况，监管建设工程质量；牵头指导协调推进全市保障性租赁住房建设、管理工作，研究制定保障性租赁住房分配、使用管理办法；牵头会同市发改委、财政局、资源规划局、税务局开展发展保障性租赁住房工作监测评价。</w:t>
      </w:r>
    </w:p>
    <w:p w:rsidR="001A29D0" w:rsidRDefault="001A29D0" w:rsidP="00827CAD">
      <w:pPr>
        <w:spacing w:line="56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二</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市发改委：负责牵头指导落实保障性租赁住房项目立项审批</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备案</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管理，会同财政、住建部门落实保障性租赁住房中央预算内投资管理办法，提高资金使用效率；督促项目单位加强申报中央预算内投资补助，编制下达预算内投资计划；支持符合条件保障性租赁住房项目申报基础设施不动产投资信托基金</w:t>
      </w:r>
      <w:r>
        <w:rPr>
          <w:rFonts w:ascii="仿宋_GB2312" w:eastAsia="仿宋_GB2312" w:hAnsi="仿宋_GB2312" w:cs="仿宋_GB2312"/>
          <w:sz w:val="32"/>
          <w:szCs w:val="32"/>
        </w:rPr>
        <w:t>(REITs)</w:t>
      </w:r>
      <w:r>
        <w:rPr>
          <w:rFonts w:ascii="仿宋_GB2312" w:eastAsia="仿宋_GB2312" w:hAnsi="仿宋_GB2312" w:cs="仿宋_GB2312" w:hint="eastAsia"/>
          <w:sz w:val="32"/>
          <w:szCs w:val="32"/>
        </w:rPr>
        <w:t>试点。</w:t>
      </w:r>
    </w:p>
    <w:p w:rsidR="001A29D0" w:rsidRDefault="001A29D0" w:rsidP="00827CAD">
      <w:pPr>
        <w:spacing w:line="56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三</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市财政局：牵头落实好财政资金直达机制，及时拨付中央、省级及市本级财政专项补助资金</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指导项目业主申报政府专项债券；强化对资金分配、使用的跟踪监控，指导督促绩效评价工；配合市住建局做好上级专项资金申报和分配下达工作</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督促落实保障性租赁住房涉及的各项降费措施。</w:t>
      </w:r>
    </w:p>
    <w:p w:rsidR="001A29D0" w:rsidRDefault="001A29D0" w:rsidP="00827CAD">
      <w:pPr>
        <w:spacing w:line="56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四</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市资源规划局：督促指导县</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市、区</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资源规划部门落实保障性租赁住房土地支持政策，做好不动产登记工作；落实保障性租赁住房用地计划，加快项目用地审批。负责拟定并落实中心市区保障性租赁住房用地年度供应计划，做好中心市区保障性租赁住房规划选址工作。</w:t>
      </w:r>
    </w:p>
    <w:p w:rsidR="001A29D0" w:rsidRDefault="001A29D0" w:rsidP="00827CAD">
      <w:pPr>
        <w:spacing w:line="56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五</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市市场监管局：负责牵头加强保障性租赁住房的民用水电气价格监管检查，依法查处不按规定明码标价和不执行保障性租赁住房的民用水电气价格政策违法行为。</w:t>
      </w:r>
    </w:p>
    <w:p w:rsidR="001A29D0" w:rsidRDefault="001A29D0" w:rsidP="00827CAD">
      <w:pPr>
        <w:spacing w:line="56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六</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市国资委：负责牵头指导市属国有企业推进闲置土地和房屋改建</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改造</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为保障性租赁住房，进一步盘活国有资产。</w:t>
      </w:r>
    </w:p>
    <w:p w:rsidR="001A29D0" w:rsidRDefault="001A29D0" w:rsidP="00827CAD">
      <w:pPr>
        <w:spacing w:line="56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七</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市金融监管局：引导金融机构加大对保障性租赁住房建设运营的信贷支持力度</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支持和鼓励金融机构创新，协助推进保障性租赁住房项目申报基础设施领域不动产投资信托基金</w:t>
      </w:r>
      <w:r>
        <w:rPr>
          <w:rFonts w:ascii="仿宋_GB2312" w:eastAsia="仿宋_GB2312" w:hAnsi="仿宋_GB2312" w:cs="仿宋_GB2312"/>
          <w:sz w:val="32"/>
          <w:szCs w:val="32"/>
        </w:rPr>
        <w:t>(REITs)</w:t>
      </w:r>
      <w:r>
        <w:rPr>
          <w:rFonts w:ascii="仿宋_GB2312" w:eastAsia="仿宋_GB2312" w:hAnsi="仿宋_GB2312" w:cs="仿宋_GB2312" w:hint="eastAsia"/>
          <w:sz w:val="32"/>
          <w:szCs w:val="32"/>
        </w:rPr>
        <w:t>试点项目。</w:t>
      </w:r>
    </w:p>
    <w:p w:rsidR="001A29D0" w:rsidRDefault="001A29D0" w:rsidP="00827CAD">
      <w:pPr>
        <w:spacing w:line="56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八</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市城管局：负责依法对未取得或未按照建设工程规划许可证进行建设的保障性租赁住房项目进行查处；指导落实保障性租赁住房项目用水、用气价格按照居民用水、用气价格标准执行。</w:t>
      </w:r>
    </w:p>
    <w:p w:rsidR="001A29D0" w:rsidRDefault="001A29D0" w:rsidP="00827CAD">
      <w:pPr>
        <w:spacing w:line="56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九</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人民银行泉州市中心支行：拓宽保障性租赁住房项目融资渠道；根据国家房地产金融政策，完善与保障性租赁住房相适应的贷款统计，指导金融机构开展金融产品和服务创新。</w:t>
      </w:r>
    </w:p>
    <w:p w:rsidR="001A29D0" w:rsidRDefault="001A29D0" w:rsidP="00827CAD">
      <w:pPr>
        <w:spacing w:line="56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十</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市税务局：负责牵头落实国家有关税收优惠政策；配合有关部门制定专业化、规模化住房租赁企业的标准。</w:t>
      </w:r>
    </w:p>
    <w:p w:rsidR="001A29D0" w:rsidRDefault="001A29D0" w:rsidP="00827CAD">
      <w:pPr>
        <w:spacing w:line="56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十一</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泉州银保监分局：引导银行业金融机构加大对符合信贷条件的保障性租赁住房项目的信贷支持力度，并做好相关金融服务；完善与保障性租赁住房相适应的贷款统计。</w:t>
      </w:r>
    </w:p>
    <w:p w:rsidR="001A29D0" w:rsidRDefault="001A29D0" w:rsidP="00827CAD">
      <w:pPr>
        <w:spacing w:line="56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十二</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国网泉州供电公司：落实利用非居住存量房屋建设保障性租赁住房，取得保障性租赁住房项目认定书后，用电价格按照居民用电价格标准执行。</w:t>
      </w:r>
    </w:p>
    <w:p w:rsidR="001A29D0" w:rsidRDefault="001A29D0" w:rsidP="00827CAD">
      <w:pPr>
        <w:spacing w:line="560" w:lineRule="exact"/>
        <w:ind w:firstLineChars="200" w:firstLine="3168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领导小组组成人员随工作变动而自然调整，不再另行发文。</w:t>
      </w:r>
    </w:p>
    <w:p w:rsidR="001A29D0" w:rsidRDefault="001A29D0">
      <w:pPr>
        <w:jc w:val="both"/>
        <w:sectPr w:rsidR="001A29D0">
          <w:footerReference w:type="default" r:id="rId6"/>
          <w:pgSz w:w="11900" w:h="16820"/>
          <w:pgMar w:top="1429" w:right="1537" w:bottom="1255" w:left="1450" w:header="0" w:footer="885" w:gutter="0"/>
          <w:cols w:space="720"/>
        </w:sectPr>
      </w:pPr>
    </w:p>
    <w:p w:rsidR="001A29D0" w:rsidRDefault="001A29D0">
      <w:pPr>
        <w:spacing w:before="108" w:line="224" w:lineRule="auto"/>
        <w:rPr>
          <w:rFonts w:ascii="宋体" w:hAnsi="宋体" w:cs="宋体"/>
          <w:b/>
          <w:bCs/>
          <w:sz w:val="32"/>
          <w:szCs w:val="32"/>
        </w:rPr>
      </w:pPr>
      <w:r>
        <w:rPr>
          <w:rFonts w:ascii="宋体" w:hAnsi="宋体" w:cs="宋体" w:hint="eastAsia"/>
          <w:b/>
          <w:bCs/>
          <w:spacing w:val="3"/>
          <w:sz w:val="32"/>
          <w:szCs w:val="32"/>
        </w:rPr>
        <w:t>附件</w:t>
      </w:r>
      <w:r>
        <w:rPr>
          <w:rFonts w:ascii="宋体" w:hAnsi="宋体" w:cs="宋体"/>
          <w:b/>
          <w:bCs/>
          <w:spacing w:val="3"/>
          <w:sz w:val="32"/>
          <w:szCs w:val="32"/>
        </w:rPr>
        <w:t>2</w:t>
      </w:r>
    </w:p>
    <w:p w:rsidR="001A29D0" w:rsidRDefault="001A29D0">
      <w:pPr>
        <w:spacing w:line="295" w:lineRule="auto"/>
      </w:pPr>
    </w:p>
    <w:p w:rsidR="001A29D0" w:rsidRDefault="001A29D0">
      <w:pPr>
        <w:spacing w:before="156" w:line="219" w:lineRule="auto"/>
        <w:ind w:left="841"/>
        <w:rPr>
          <w:rFonts w:ascii="宋体" w:hAnsi="宋体" w:cs="宋体"/>
          <w:sz w:val="48"/>
          <w:szCs w:val="48"/>
        </w:rPr>
      </w:pPr>
      <w:r>
        <w:rPr>
          <w:rFonts w:ascii="宋体" w:hAnsi="宋体" w:cs="宋体" w:hint="eastAsia"/>
          <w:spacing w:val="-40"/>
          <w:sz w:val="48"/>
          <w:szCs w:val="48"/>
        </w:rPr>
        <w:t>“十四五”期间保障性租赁住房任务分解表</w:t>
      </w:r>
    </w:p>
    <w:p w:rsidR="001A29D0" w:rsidRDefault="001A29D0">
      <w:pPr>
        <w:spacing w:before="235" w:line="221" w:lineRule="auto"/>
        <w:ind w:right="353"/>
        <w:jc w:val="right"/>
        <w:rPr>
          <w:rFonts w:ascii="仿宋" w:eastAsia="仿宋" w:hAnsi="仿宋" w:cs="仿宋"/>
          <w:sz w:val="33"/>
          <w:szCs w:val="33"/>
        </w:rPr>
      </w:pPr>
      <w:r>
        <w:rPr>
          <w:rFonts w:ascii="仿宋" w:eastAsia="仿宋" w:hAnsi="仿宋" w:cs="仿宋" w:hint="eastAsia"/>
          <w:spacing w:val="-40"/>
          <w:sz w:val="33"/>
          <w:szCs w:val="33"/>
        </w:rPr>
        <w:t>单位：套</w:t>
      </w:r>
      <w:r>
        <w:rPr>
          <w:rFonts w:ascii="仿宋" w:eastAsia="仿宋" w:hAnsi="仿宋" w:cs="仿宋"/>
          <w:spacing w:val="-40"/>
          <w:sz w:val="33"/>
          <w:szCs w:val="33"/>
        </w:rPr>
        <w:t>/</w:t>
      </w:r>
      <w:r>
        <w:rPr>
          <w:rFonts w:ascii="仿宋" w:eastAsia="仿宋" w:hAnsi="仿宋" w:cs="仿宋" w:hint="eastAsia"/>
          <w:spacing w:val="-39"/>
          <w:sz w:val="33"/>
          <w:szCs w:val="33"/>
        </w:rPr>
        <w:t>间</w:t>
      </w:r>
    </w:p>
    <w:p w:rsidR="001A29D0" w:rsidRDefault="001A29D0">
      <w:pPr>
        <w:spacing w:line="71" w:lineRule="exact"/>
      </w:pPr>
    </w:p>
    <w:tbl>
      <w:tblPr>
        <w:tblW w:w="978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A0"/>
      </w:tblPr>
      <w:tblGrid>
        <w:gridCol w:w="2482"/>
        <w:gridCol w:w="2367"/>
        <w:gridCol w:w="1298"/>
        <w:gridCol w:w="1249"/>
        <w:gridCol w:w="1259"/>
        <w:gridCol w:w="1134"/>
      </w:tblGrid>
      <w:tr w:rsidR="001A29D0" w:rsidTr="00B1364E">
        <w:trPr>
          <w:trHeight w:val="649"/>
          <w:jc w:val="center"/>
        </w:trPr>
        <w:tc>
          <w:tcPr>
            <w:tcW w:w="2482" w:type="dxa"/>
            <w:tcBorders>
              <w:top w:val="single" w:sz="2" w:space="0" w:color="000000"/>
              <w:bottom w:val="single" w:sz="2" w:space="0" w:color="000000"/>
            </w:tcBorders>
          </w:tcPr>
          <w:p w:rsidR="001A29D0" w:rsidRDefault="001A29D0"/>
        </w:tc>
        <w:tc>
          <w:tcPr>
            <w:tcW w:w="2367" w:type="dxa"/>
            <w:tcBorders>
              <w:top w:val="single" w:sz="2" w:space="0" w:color="000000"/>
              <w:bottom w:val="single" w:sz="2" w:space="0" w:color="000000"/>
            </w:tcBorders>
          </w:tcPr>
          <w:p w:rsidR="001A29D0" w:rsidRPr="00B1364E" w:rsidRDefault="001A29D0" w:rsidP="00B1364E">
            <w:pPr>
              <w:spacing w:before="163" w:line="225" w:lineRule="auto"/>
              <w:ind w:left="2"/>
              <w:rPr>
                <w:rFonts w:ascii="宋体" w:hAnsi="宋体" w:cs="宋体"/>
                <w:sz w:val="30"/>
                <w:szCs w:val="30"/>
              </w:rPr>
            </w:pPr>
            <w:r w:rsidRPr="00B1364E">
              <w:rPr>
                <w:rFonts w:ascii="宋体" w:hAnsi="宋体" w:cs="宋体"/>
                <w:spacing w:val="4"/>
                <w:sz w:val="30"/>
                <w:szCs w:val="30"/>
              </w:rPr>
              <w:t>2021</w:t>
            </w:r>
            <w:r w:rsidRPr="00B1364E">
              <w:rPr>
                <w:rFonts w:ascii="宋体" w:hAnsi="宋体" w:cs="宋体" w:hint="eastAsia"/>
                <w:spacing w:val="4"/>
                <w:sz w:val="30"/>
                <w:szCs w:val="30"/>
              </w:rPr>
              <w:t>年</w:t>
            </w:r>
            <w:r w:rsidRPr="00B1364E">
              <w:rPr>
                <w:rFonts w:ascii="宋体" w:hAnsi="宋体" w:cs="宋体"/>
                <w:spacing w:val="4"/>
                <w:sz w:val="30"/>
                <w:szCs w:val="30"/>
              </w:rPr>
              <w:t>—2022</w:t>
            </w:r>
            <w:r w:rsidRPr="00B1364E">
              <w:rPr>
                <w:rFonts w:ascii="宋体" w:hAnsi="宋体" w:cs="宋体" w:hint="eastAsia"/>
                <w:spacing w:val="4"/>
                <w:sz w:val="30"/>
                <w:szCs w:val="30"/>
              </w:rPr>
              <w:t>年</w:t>
            </w:r>
          </w:p>
        </w:tc>
        <w:tc>
          <w:tcPr>
            <w:tcW w:w="1298" w:type="dxa"/>
            <w:tcBorders>
              <w:top w:val="single" w:sz="2" w:space="0" w:color="000000"/>
              <w:bottom w:val="single" w:sz="2" w:space="0" w:color="000000"/>
            </w:tcBorders>
          </w:tcPr>
          <w:p w:rsidR="001A29D0" w:rsidRPr="00B1364E" w:rsidRDefault="001A29D0" w:rsidP="00B1364E">
            <w:pPr>
              <w:spacing w:before="159" w:line="219" w:lineRule="auto"/>
              <w:ind w:left="140"/>
              <w:rPr>
                <w:rFonts w:ascii="宋体" w:hAnsi="宋体" w:cs="宋体"/>
                <w:sz w:val="30"/>
                <w:szCs w:val="30"/>
              </w:rPr>
            </w:pPr>
            <w:r w:rsidRPr="00B1364E">
              <w:rPr>
                <w:rFonts w:ascii="宋体" w:hAnsi="宋体" w:cs="宋体"/>
                <w:spacing w:val="1"/>
                <w:sz w:val="30"/>
                <w:szCs w:val="30"/>
              </w:rPr>
              <w:t>2023</w:t>
            </w:r>
            <w:r w:rsidRPr="00B1364E">
              <w:rPr>
                <w:rFonts w:ascii="宋体" w:hAnsi="宋体" w:cs="宋体" w:hint="eastAsia"/>
                <w:sz w:val="30"/>
                <w:szCs w:val="30"/>
              </w:rPr>
              <w:t>年</w:t>
            </w:r>
          </w:p>
        </w:tc>
        <w:tc>
          <w:tcPr>
            <w:tcW w:w="1249" w:type="dxa"/>
            <w:tcBorders>
              <w:top w:val="single" w:sz="2" w:space="0" w:color="000000"/>
              <w:bottom w:val="single" w:sz="2" w:space="0" w:color="000000"/>
            </w:tcBorders>
          </w:tcPr>
          <w:p w:rsidR="001A29D0" w:rsidRPr="00B1364E" w:rsidRDefault="001A29D0" w:rsidP="00B1364E">
            <w:pPr>
              <w:spacing w:before="159" w:line="219" w:lineRule="auto"/>
              <w:ind w:left="112"/>
              <w:rPr>
                <w:rFonts w:ascii="宋体" w:hAnsi="宋体" w:cs="宋体"/>
                <w:sz w:val="30"/>
                <w:szCs w:val="30"/>
              </w:rPr>
            </w:pPr>
            <w:r w:rsidRPr="00B1364E">
              <w:rPr>
                <w:rFonts w:ascii="宋体" w:hAnsi="宋体" w:cs="宋体"/>
                <w:spacing w:val="1"/>
                <w:sz w:val="30"/>
                <w:szCs w:val="30"/>
              </w:rPr>
              <w:t>2024</w:t>
            </w:r>
            <w:r w:rsidRPr="00B1364E">
              <w:rPr>
                <w:rFonts w:ascii="宋体" w:hAnsi="宋体" w:cs="宋体" w:hint="eastAsia"/>
                <w:sz w:val="30"/>
                <w:szCs w:val="30"/>
              </w:rPr>
              <w:t>年</w:t>
            </w:r>
          </w:p>
        </w:tc>
        <w:tc>
          <w:tcPr>
            <w:tcW w:w="1259" w:type="dxa"/>
            <w:tcBorders>
              <w:top w:val="single" w:sz="2" w:space="0" w:color="000000"/>
              <w:bottom w:val="single" w:sz="2" w:space="0" w:color="000000"/>
            </w:tcBorders>
          </w:tcPr>
          <w:p w:rsidR="001A29D0" w:rsidRPr="00B1364E" w:rsidRDefault="001A29D0" w:rsidP="00B1364E">
            <w:pPr>
              <w:spacing w:before="159" w:line="219" w:lineRule="auto"/>
              <w:ind w:left="123"/>
              <w:rPr>
                <w:rFonts w:ascii="宋体" w:hAnsi="宋体" w:cs="宋体"/>
                <w:sz w:val="30"/>
                <w:szCs w:val="30"/>
              </w:rPr>
            </w:pPr>
            <w:r w:rsidRPr="00B1364E">
              <w:rPr>
                <w:rFonts w:ascii="宋体" w:hAnsi="宋体" w:cs="宋体"/>
                <w:spacing w:val="1"/>
                <w:sz w:val="30"/>
                <w:szCs w:val="30"/>
              </w:rPr>
              <w:t>2025</w:t>
            </w:r>
            <w:r w:rsidRPr="00B1364E">
              <w:rPr>
                <w:rFonts w:ascii="宋体" w:hAnsi="宋体" w:cs="宋体" w:hint="eastAsia"/>
                <w:sz w:val="30"/>
                <w:szCs w:val="30"/>
              </w:rPr>
              <w:t>年</w:t>
            </w:r>
          </w:p>
        </w:tc>
        <w:tc>
          <w:tcPr>
            <w:tcW w:w="1134" w:type="dxa"/>
            <w:tcBorders>
              <w:top w:val="single" w:sz="2" w:space="0" w:color="000000"/>
              <w:bottom w:val="single" w:sz="2" w:space="0" w:color="000000"/>
            </w:tcBorders>
          </w:tcPr>
          <w:p w:rsidR="001A29D0" w:rsidRPr="00B1364E" w:rsidRDefault="001A29D0" w:rsidP="00B1364E">
            <w:pPr>
              <w:spacing w:before="161" w:line="221" w:lineRule="auto"/>
              <w:ind w:left="274"/>
              <w:rPr>
                <w:rFonts w:ascii="宋体" w:hAnsi="宋体" w:cs="宋体"/>
                <w:sz w:val="30"/>
                <w:szCs w:val="30"/>
              </w:rPr>
            </w:pPr>
            <w:r w:rsidRPr="00B1364E">
              <w:rPr>
                <w:rFonts w:ascii="宋体" w:hAnsi="宋体" w:cs="宋体" w:hint="eastAsia"/>
                <w:spacing w:val="2"/>
                <w:sz w:val="30"/>
                <w:szCs w:val="30"/>
              </w:rPr>
              <w:t>小计</w:t>
            </w:r>
          </w:p>
        </w:tc>
      </w:tr>
      <w:tr w:rsidR="001A29D0" w:rsidTr="00B1364E">
        <w:trPr>
          <w:trHeight w:val="635"/>
          <w:jc w:val="center"/>
        </w:trPr>
        <w:tc>
          <w:tcPr>
            <w:tcW w:w="2482" w:type="dxa"/>
            <w:tcBorders>
              <w:top w:val="single" w:sz="2" w:space="0" w:color="000000"/>
              <w:bottom w:val="single" w:sz="2" w:space="0" w:color="000000"/>
            </w:tcBorders>
          </w:tcPr>
          <w:p w:rsidR="001A29D0" w:rsidRPr="00B1364E" w:rsidRDefault="001A29D0" w:rsidP="00B1364E">
            <w:pPr>
              <w:spacing w:before="161" w:line="221" w:lineRule="auto"/>
              <w:ind w:left="894"/>
              <w:rPr>
                <w:rFonts w:ascii="仿宋_GB2312" w:eastAsia="仿宋_GB2312" w:hAnsi="仿宋_GB2312" w:cs="仿宋_GB2312"/>
                <w:sz w:val="32"/>
                <w:szCs w:val="32"/>
              </w:rPr>
            </w:pPr>
            <w:r w:rsidRPr="00B1364E">
              <w:rPr>
                <w:rFonts w:ascii="仿宋_GB2312" w:eastAsia="仿宋_GB2312" w:hAnsi="仿宋_GB2312" w:cs="仿宋_GB2312" w:hint="eastAsia"/>
                <w:spacing w:val="7"/>
                <w:sz w:val="32"/>
                <w:szCs w:val="32"/>
              </w:rPr>
              <w:t>合计</w:t>
            </w:r>
          </w:p>
        </w:tc>
        <w:tc>
          <w:tcPr>
            <w:tcW w:w="2367"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7200</w:t>
            </w:r>
          </w:p>
        </w:tc>
        <w:tc>
          <w:tcPr>
            <w:tcW w:w="1298"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13150</w:t>
            </w:r>
          </w:p>
        </w:tc>
        <w:tc>
          <w:tcPr>
            <w:tcW w:w="1249"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13450</w:t>
            </w:r>
          </w:p>
        </w:tc>
        <w:tc>
          <w:tcPr>
            <w:tcW w:w="1259"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4200</w:t>
            </w:r>
          </w:p>
        </w:tc>
        <w:tc>
          <w:tcPr>
            <w:tcW w:w="1134"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38000</w:t>
            </w:r>
          </w:p>
        </w:tc>
      </w:tr>
      <w:tr w:rsidR="001A29D0" w:rsidTr="00B1364E">
        <w:trPr>
          <w:trHeight w:val="645"/>
          <w:jc w:val="center"/>
        </w:trPr>
        <w:tc>
          <w:tcPr>
            <w:tcW w:w="2482" w:type="dxa"/>
            <w:tcBorders>
              <w:top w:val="single" w:sz="2" w:space="0" w:color="000000"/>
              <w:bottom w:val="single" w:sz="2" w:space="0" w:color="000000"/>
            </w:tcBorders>
          </w:tcPr>
          <w:p w:rsidR="001A29D0" w:rsidRPr="00B1364E" w:rsidRDefault="001A29D0" w:rsidP="00B1364E">
            <w:pPr>
              <w:spacing w:before="160" w:line="219" w:lineRule="auto"/>
              <w:ind w:left="724"/>
              <w:rPr>
                <w:rFonts w:ascii="仿宋_GB2312" w:eastAsia="仿宋_GB2312" w:hAnsi="仿宋_GB2312" w:cs="仿宋_GB2312"/>
                <w:sz w:val="32"/>
                <w:szCs w:val="32"/>
              </w:rPr>
            </w:pPr>
            <w:r w:rsidRPr="00B1364E">
              <w:rPr>
                <w:rFonts w:ascii="仿宋_GB2312" w:eastAsia="仿宋_GB2312" w:hAnsi="仿宋_GB2312" w:cs="仿宋_GB2312" w:hint="eastAsia"/>
                <w:spacing w:val="11"/>
                <w:sz w:val="32"/>
                <w:szCs w:val="32"/>
              </w:rPr>
              <w:t>鲤</w:t>
            </w:r>
            <w:r w:rsidRPr="00B1364E">
              <w:rPr>
                <w:rFonts w:ascii="仿宋_GB2312" w:eastAsia="仿宋_GB2312" w:hAnsi="仿宋_GB2312" w:cs="仿宋_GB2312" w:hint="eastAsia"/>
                <w:spacing w:val="9"/>
                <w:sz w:val="32"/>
                <w:szCs w:val="32"/>
              </w:rPr>
              <w:t>城区</w:t>
            </w:r>
          </w:p>
        </w:tc>
        <w:tc>
          <w:tcPr>
            <w:tcW w:w="2367"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1200</w:t>
            </w:r>
          </w:p>
        </w:tc>
        <w:tc>
          <w:tcPr>
            <w:tcW w:w="1298"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1500</w:t>
            </w:r>
          </w:p>
        </w:tc>
        <w:tc>
          <w:tcPr>
            <w:tcW w:w="1249"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1300</w:t>
            </w:r>
          </w:p>
        </w:tc>
        <w:tc>
          <w:tcPr>
            <w:tcW w:w="1259"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500</w:t>
            </w:r>
          </w:p>
        </w:tc>
        <w:tc>
          <w:tcPr>
            <w:tcW w:w="1134"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4500</w:t>
            </w:r>
          </w:p>
        </w:tc>
      </w:tr>
      <w:tr w:rsidR="001A29D0" w:rsidTr="00B1364E">
        <w:trPr>
          <w:trHeight w:val="644"/>
          <w:jc w:val="center"/>
        </w:trPr>
        <w:tc>
          <w:tcPr>
            <w:tcW w:w="2482" w:type="dxa"/>
            <w:tcBorders>
              <w:top w:val="single" w:sz="2" w:space="0" w:color="000000"/>
              <w:bottom w:val="single" w:sz="2" w:space="0" w:color="000000"/>
            </w:tcBorders>
          </w:tcPr>
          <w:p w:rsidR="001A29D0" w:rsidRPr="00B1364E" w:rsidRDefault="001A29D0" w:rsidP="00B1364E">
            <w:pPr>
              <w:spacing w:before="161" w:line="220" w:lineRule="auto"/>
              <w:ind w:left="724"/>
              <w:rPr>
                <w:rFonts w:ascii="仿宋_GB2312" w:eastAsia="仿宋_GB2312" w:hAnsi="仿宋_GB2312" w:cs="仿宋_GB2312"/>
                <w:sz w:val="32"/>
                <w:szCs w:val="32"/>
              </w:rPr>
            </w:pPr>
            <w:r w:rsidRPr="00B1364E">
              <w:rPr>
                <w:rFonts w:ascii="仿宋_GB2312" w:eastAsia="仿宋_GB2312" w:hAnsi="仿宋_GB2312" w:cs="仿宋_GB2312" w:hint="eastAsia"/>
                <w:spacing w:val="11"/>
                <w:sz w:val="32"/>
                <w:szCs w:val="32"/>
              </w:rPr>
              <w:t>丰</w:t>
            </w:r>
            <w:r w:rsidRPr="00B1364E">
              <w:rPr>
                <w:rFonts w:ascii="仿宋_GB2312" w:eastAsia="仿宋_GB2312" w:hAnsi="仿宋_GB2312" w:cs="仿宋_GB2312" w:hint="eastAsia"/>
                <w:spacing w:val="9"/>
                <w:sz w:val="32"/>
                <w:szCs w:val="32"/>
              </w:rPr>
              <w:t>泽区</w:t>
            </w:r>
          </w:p>
        </w:tc>
        <w:tc>
          <w:tcPr>
            <w:tcW w:w="2367"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1200</w:t>
            </w:r>
          </w:p>
        </w:tc>
        <w:tc>
          <w:tcPr>
            <w:tcW w:w="1298"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3000</w:t>
            </w:r>
          </w:p>
        </w:tc>
        <w:tc>
          <w:tcPr>
            <w:tcW w:w="1249"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2500</w:t>
            </w:r>
          </w:p>
        </w:tc>
        <w:tc>
          <w:tcPr>
            <w:tcW w:w="1259"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600</w:t>
            </w:r>
          </w:p>
        </w:tc>
        <w:tc>
          <w:tcPr>
            <w:tcW w:w="1134"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7300</w:t>
            </w:r>
          </w:p>
        </w:tc>
      </w:tr>
      <w:tr w:rsidR="001A29D0" w:rsidTr="00B1364E">
        <w:trPr>
          <w:trHeight w:val="645"/>
          <w:jc w:val="center"/>
        </w:trPr>
        <w:tc>
          <w:tcPr>
            <w:tcW w:w="2482" w:type="dxa"/>
            <w:tcBorders>
              <w:top w:val="single" w:sz="2" w:space="0" w:color="000000"/>
              <w:bottom w:val="single" w:sz="2" w:space="0" w:color="000000"/>
            </w:tcBorders>
          </w:tcPr>
          <w:p w:rsidR="001A29D0" w:rsidRPr="00B1364E" w:rsidRDefault="001A29D0" w:rsidP="00B1364E">
            <w:pPr>
              <w:spacing w:before="165" w:line="221" w:lineRule="auto"/>
              <w:ind w:left="724"/>
              <w:rPr>
                <w:rFonts w:ascii="仿宋_GB2312" w:eastAsia="仿宋_GB2312" w:hAnsi="仿宋_GB2312" w:cs="仿宋_GB2312"/>
                <w:sz w:val="32"/>
                <w:szCs w:val="32"/>
              </w:rPr>
            </w:pPr>
            <w:r w:rsidRPr="00B1364E">
              <w:rPr>
                <w:rFonts w:ascii="仿宋_GB2312" w:eastAsia="仿宋_GB2312" w:hAnsi="仿宋_GB2312" w:cs="仿宋_GB2312" w:hint="eastAsia"/>
                <w:spacing w:val="11"/>
                <w:sz w:val="32"/>
                <w:szCs w:val="32"/>
              </w:rPr>
              <w:t>洛</w:t>
            </w:r>
            <w:r w:rsidRPr="00B1364E">
              <w:rPr>
                <w:rFonts w:ascii="仿宋_GB2312" w:eastAsia="仿宋_GB2312" w:hAnsi="仿宋_GB2312" w:cs="仿宋_GB2312" w:hint="eastAsia"/>
                <w:spacing w:val="9"/>
                <w:sz w:val="32"/>
                <w:szCs w:val="32"/>
              </w:rPr>
              <w:t>江区</w:t>
            </w:r>
          </w:p>
        </w:tc>
        <w:tc>
          <w:tcPr>
            <w:tcW w:w="2367"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800</w:t>
            </w:r>
          </w:p>
        </w:tc>
        <w:tc>
          <w:tcPr>
            <w:tcW w:w="1298"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300</w:t>
            </w:r>
          </w:p>
        </w:tc>
        <w:tc>
          <w:tcPr>
            <w:tcW w:w="1249"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300</w:t>
            </w:r>
          </w:p>
        </w:tc>
        <w:tc>
          <w:tcPr>
            <w:tcW w:w="1259"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100</w:t>
            </w:r>
          </w:p>
        </w:tc>
        <w:tc>
          <w:tcPr>
            <w:tcW w:w="1134"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1500</w:t>
            </w:r>
          </w:p>
        </w:tc>
      </w:tr>
      <w:tr w:rsidR="001A29D0" w:rsidTr="00B1364E">
        <w:trPr>
          <w:trHeight w:val="654"/>
          <w:jc w:val="center"/>
        </w:trPr>
        <w:tc>
          <w:tcPr>
            <w:tcW w:w="2482" w:type="dxa"/>
            <w:tcBorders>
              <w:top w:val="single" w:sz="2" w:space="0" w:color="000000"/>
              <w:bottom w:val="single" w:sz="2" w:space="0" w:color="000000"/>
            </w:tcBorders>
          </w:tcPr>
          <w:p w:rsidR="001A29D0" w:rsidRPr="00B1364E" w:rsidRDefault="001A29D0" w:rsidP="00B1364E">
            <w:pPr>
              <w:spacing w:before="168" w:line="219" w:lineRule="auto"/>
              <w:ind w:left="384"/>
              <w:rPr>
                <w:rFonts w:ascii="仿宋_GB2312" w:eastAsia="仿宋_GB2312" w:hAnsi="仿宋_GB2312" w:cs="仿宋_GB2312"/>
                <w:sz w:val="32"/>
                <w:szCs w:val="32"/>
              </w:rPr>
            </w:pPr>
            <w:r w:rsidRPr="00B1364E">
              <w:rPr>
                <w:rFonts w:ascii="仿宋_GB2312" w:eastAsia="仿宋_GB2312" w:hAnsi="仿宋_GB2312" w:cs="仿宋_GB2312" w:hint="eastAsia"/>
                <w:spacing w:val="6"/>
                <w:sz w:val="32"/>
                <w:szCs w:val="32"/>
              </w:rPr>
              <w:t>泉州开发</w:t>
            </w:r>
            <w:r w:rsidRPr="00B1364E">
              <w:rPr>
                <w:rFonts w:ascii="仿宋_GB2312" w:eastAsia="仿宋_GB2312" w:hAnsi="仿宋_GB2312" w:cs="仿宋_GB2312" w:hint="eastAsia"/>
                <w:spacing w:val="5"/>
                <w:sz w:val="32"/>
                <w:szCs w:val="32"/>
              </w:rPr>
              <w:t>区</w:t>
            </w:r>
          </w:p>
        </w:tc>
        <w:tc>
          <w:tcPr>
            <w:tcW w:w="2367"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200</w:t>
            </w:r>
          </w:p>
        </w:tc>
        <w:tc>
          <w:tcPr>
            <w:tcW w:w="1298"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200</w:t>
            </w:r>
          </w:p>
        </w:tc>
        <w:tc>
          <w:tcPr>
            <w:tcW w:w="1249"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200</w:t>
            </w:r>
          </w:p>
        </w:tc>
        <w:tc>
          <w:tcPr>
            <w:tcW w:w="1259"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100</w:t>
            </w:r>
          </w:p>
        </w:tc>
        <w:tc>
          <w:tcPr>
            <w:tcW w:w="1134"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700</w:t>
            </w:r>
          </w:p>
        </w:tc>
      </w:tr>
      <w:tr w:rsidR="001A29D0" w:rsidTr="00B1364E">
        <w:trPr>
          <w:trHeight w:val="635"/>
          <w:jc w:val="center"/>
        </w:trPr>
        <w:tc>
          <w:tcPr>
            <w:tcW w:w="2482" w:type="dxa"/>
            <w:tcBorders>
              <w:top w:val="single" w:sz="2" w:space="0" w:color="000000"/>
              <w:bottom w:val="single" w:sz="2" w:space="0" w:color="000000"/>
            </w:tcBorders>
          </w:tcPr>
          <w:p w:rsidR="001A29D0" w:rsidRPr="00B1364E" w:rsidRDefault="001A29D0" w:rsidP="00B1364E">
            <w:pPr>
              <w:spacing w:before="159" w:line="219" w:lineRule="auto"/>
              <w:ind w:left="44"/>
              <w:rPr>
                <w:rFonts w:ascii="仿宋_GB2312" w:eastAsia="仿宋_GB2312" w:hAnsi="仿宋_GB2312" w:cs="仿宋_GB2312"/>
                <w:sz w:val="32"/>
                <w:szCs w:val="32"/>
              </w:rPr>
            </w:pPr>
            <w:r w:rsidRPr="00B1364E">
              <w:rPr>
                <w:rFonts w:ascii="仿宋_GB2312" w:eastAsia="仿宋_GB2312" w:hAnsi="仿宋_GB2312" w:cs="仿宋_GB2312" w:hint="eastAsia"/>
                <w:spacing w:val="5"/>
                <w:sz w:val="32"/>
                <w:szCs w:val="32"/>
              </w:rPr>
              <w:t>泉</w:t>
            </w:r>
            <w:r w:rsidRPr="00B1364E">
              <w:rPr>
                <w:rFonts w:ascii="仿宋_GB2312" w:eastAsia="仿宋_GB2312" w:hAnsi="仿宋_GB2312" w:cs="仿宋_GB2312" w:hint="eastAsia"/>
                <w:spacing w:val="4"/>
                <w:sz w:val="32"/>
                <w:szCs w:val="32"/>
              </w:rPr>
              <w:t>州台商投资区</w:t>
            </w:r>
          </w:p>
        </w:tc>
        <w:tc>
          <w:tcPr>
            <w:tcW w:w="2367"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300</w:t>
            </w:r>
          </w:p>
        </w:tc>
        <w:tc>
          <w:tcPr>
            <w:tcW w:w="1298"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300</w:t>
            </w:r>
          </w:p>
        </w:tc>
        <w:tc>
          <w:tcPr>
            <w:tcW w:w="1249"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300</w:t>
            </w:r>
          </w:p>
        </w:tc>
        <w:tc>
          <w:tcPr>
            <w:tcW w:w="1259"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100</w:t>
            </w:r>
          </w:p>
        </w:tc>
        <w:tc>
          <w:tcPr>
            <w:tcW w:w="1134"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1000</w:t>
            </w:r>
          </w:p>
        </w:tc>
      </w:tr>
      <w:tr w:rsidR="001A29D0" w:rsidTr="00B1364E">
        <w:trPr>
          <w:trHeight w:val="645"/>
          <w:jc w:val="center"/>
        </w:trPr>
        <w:tc>
          <w:tcPr>
            <w:tcW w:w="2482" w:type="dxa"/>
            <w:tcBorders>
              <w:top w:val="single" w:sz="2" w:space="0" w:color="000000"/>
              <w:bottom w:val="single" w:sz="2" w:space="0" w:color="000000"/>
            </w:tcBorders>
          </w:tcPr>
          <w:p w:rsidR="001A29D0" w:rsidRPr="00B1364E" w:rsidRDefault="001A29D0" w:rsidP="00B1364E">
            <w:pPr>
              <w:spacing w:before="162" w:line="219" w:lineRule="auto"/>
              <w:ind w:left="724"/>
              <w:rPr>
                <w:rFonts w:ascii="仿宋_GB2312" w:eastAsia="仿宋_GB2312" w:hAnsi="仿宋_GB2312" w:cs="仿宋_GB2312"/>
                <w:sz w:val="32"/>
                <w:szCs w:val="32"/>
              </w:rPr>
            </w:pPr>
            <w:r w:rsidRPr="00B1364E">
              <w:rPr>
                <w:rFonts w:ascii="仿宋_GB2312" w:eastAsia="仿宋_GB2312" w:hAnsi="仿宋_GB2312" w:cs="仿宋_GB2312" w:hint="eastAsia"/>
                <w:spacing w:val="8"/>
                <w:sz w:val="32"/>
                <w:szCs w:val="32"/>
              </w:rPr>
              <w:t>石</w:t>
            </w:r>
            <w:r w:rsidRPr="00B1364E">
              <w:rPr>
                <w:rFonts w:ascii="仿宋_GB2312" w:eastAsia="仿宋_GB2312" w:hAnsi="仿宋_GB2312" w:cs="仿宋_GB2312" w:hint="eastAsia"/>
                <w:spacing w:val="6"/>
                <w:sz w:val="32"/>
                <w:szCs w:val="32"/>
              </w:rPr>
              <w:t>狮市</w:t>
            </w:r>
          </w:p>
        </w:tc>
        <w:tc>
          <w:tcPr>
            <w:tcW w:w="2367"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500</w:t>
            </w:r>
          </w:p>
        </w:tc>
        <w:tc>
          <w:tcPr>
            <w:tcW w:w="1298"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1000</w:t>
            </w:r>
          </w:p>
        </w:tc>
        <w:tc>
          <w:tcPr>
            <w:tcW w:w="1249"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1000</w:t>
            </w:r>
          </w:p>
        </w:tc>
        <w:tc>
          <w:tcPr>
            <w:tcW w:w="1259"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500</w:t>
            </w:r>
          </w:p>
        </w:tc>
        <w:tc>
          <w:tcPr>
            <w:tcW w:w="1134"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3000</w:t>
            </w:r>
          </w:p>
        </w:tc>
      </w:tr>
      <w:tr w:rsidR="001A29D0" w:rsidTr="00B1364E">
        <w:trPr>
          <w:trHeight w:val="644"/>
          <w:jc w:val="center"/>
        </w:trPr>
        <w:tc>
          <w:tcPr>
            <w:tcW w:w="2482" w:type="dxa"/>
            <w:tcBorders>
              <w:top w:val="single" w:sz="2" w:space="0" w:color="000000"/>
              <w:bottom w:val="single" w:sz="2" w:space="0" w:color="000000"/>
            </w:tcBorders>
          </w:tcPr>
          <w:p w:rsidR="001A29D0" w:rsidRPr="00B1364E" w:rsidRDefault="001A29D0" w:rsidP="00B1364E">
            <w:pPr>
              <w:spacing w:before="162" w:line="219" w:lineRule="auto"/>
              <w:ind w:left="724"/>
              <w:rPr>
                <w:rFonts w:ascii="仿宋_GB2312" w:eastAsia="仿宋_GB2312" w:hAnsi="仿宋_GB2312" w:cs="仿宋_GB2312"/>
                <w:sz w:val="32"/>
                <w:szCs w:val="32"/>
              </w:rPr>
            </w:pPr>
            <w:r w:rsidRPr="00B1364E">
              <w:rPr>
                <w:rFonts w:ascii="仿宋_GB2312" w:eastAsia="仿宋_GB2312" w:hAnsi="仿宋_GB2312" w:cs="仿宋_GB2312" w:hint="eastAsia"/>
                <w:spacing w:val="8"/>
                <w:sz w:val="32"/>
                <w:szCs w:val="32"/>
              </w:rPr>
              <w:t>晋</w:t>
            </w:r>
            <w:r w:rsidRPr="00B1364E">
              <w:rPr>
                <w:rFonts w:ascii="仿宋_GB2312" w:eastAsia="仿宋_GB2312" w:hAnsi="仿宋_GB2312" w:cs="仿宋_GB2312" w:hint="eastAsia"/>
                <w:spacing w:val="6"/>
                <w:sz w:val="32"/>
                <w:szCs w:val="32"/>
              </w:rPr>
              <w:t>江市</w:t>
            </w:r>
          </w:p>
        </w:tc>
        <w:tc>
          <w:tcPr>
            <w:tcW w:w="2367"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1500</w:t>
            </w:r>
          </w:p>
        </w:tc>
        <w:tc>
          <w:tcPr>
            <w:tcW w:w="1298"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4000</w:t>
            </w:r>
          </w:p>
        </w:tc>
        <w:tc>
          <w:tcPr>
            <w:tcW w:w="1249"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5000</w:t>
            </w:r>
          </w:p>
        </w:tc>
        <w:tc>
          <w:tcPr>
            <w:tcW w:w="1259"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1500</w:t>
            </w:r>
          </w:p>
        </w:tc>
        <w:tc>
          <w:tcPr>
            <w:tcW w:w="1134"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12000</w:t>
            </w:r>
          </w:p>
        </w:tc>
      </w:tr>
      <w:tr w:rsidR="001A29D0" w:rsidTr="00B1364E">
        <w:trPr>
          <w:trHeight w:val="634"/>
          <w:jc w:val="center"/>
        </w:trPr>
        <w:tc>
          <w:tcPr>
            <w:tcW w:w="2482" w:type="dxa"/>
            <w:tcBorders>
              <w:top w:val="single" w:sz="2" w:space="0" w:color="000000"/>
              <w:bottom w:val="single" w:sz="2" w:space="0" w:color="000000"/>
            </w:tcBorders>
          </w:tcPr>
          <w:p w:rsidR="001A29D0" w:rsidRPr="00B1364E" w:rsidRDefault="001A29D0" w:rsidP="00B1364E">
            <w:pPr>
              <w:spacing w:before="161" w:line="220" w:lineRule="auto"/>
              <w:ind w:left="724"/>
              <w:rPr>
                <w:rFonts w:ascii="仿宋_GB2312" w:eastAsia="仿宋_GB2312" w:hAnsi="仿宋_GB2312" w:cs="仿宋_GB2312"/>
                <w:spacing w:val="11"/>
                <w:sz w:val="32"/>
                <w:szCs w:val="32"/>
              </w:rPr>
            </w:pPr>
            <w:r w:rsidRPr="00B1364E">
              <w:rPr>
                <w:rFonts w:ascii="仿宋_GB2312" w:eastAsia="仿宋_GB2312" w:hAnsi="仿宋_GB2312" w:cs="仿宋_GB2312" w:hint="eastAsia"/>
                <w:spacing w:val="11"/>
                <w:sz w:val="32"/>
                <w:szCs w:val="32"/>
              </w:rPr>
              <w:t>南安市</w:t>
            </w:r>
          </w:p>
        </w:tc>
        <w:tc>
          <w:tcPr>
            <w:tcW w:w="2367"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800</w:t>
            </w:r>
          </w:p>
        </w:tc>
        <w:tc>
          <w:tcPr>
            <w:tcW w:w="1298"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1800</w:t>
            </w:r>
          </w:p>
        </w:tc>
        <w:tc>
          <w:tcPr>
            <w:tcW w:w="1249"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1800</w:t>
            </w:r>
          </w:p>
        </w:tc>
        <w:tc>
          <w:tcPr>
            <w:tcW w:w="1259"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600</w:t>
            </w:r>
          </w:p>
        </w:tc>
        <w:tc>
          <w:tcPr>
            <w:tcW w:w="1134"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5000</w:t>
            </w:r>
          </w:p>
        </w:tc>
      </w:tr>
      <w:tr w:rsidR="001A29D0" w:rsidTr="00B1364E">
        <w:trPr>
          <w:trHeight w:val="655"/>
          <w:jc w:val="center"/>
        </w:trPr>
        <w:tc>
          <w:tcPr>
            <w:tcW w:w="2482" w:type="dxa"/>
            <w:tcBorders>
              <w:top w:val="single" w:sz="2" w:space="0" w:color="000000"/>
              <w:bottom w:val="single" w:sz="2" w:space="0" w:color="000000"/>
            </w:tcBorders>
          </w:tcPr>
          <w:p w:rsidR="001A29D0" w:rsidRPr="00B1364E" w:rsidRDefault="001A29D0" w:rsidP="00B1364E">
            <w:pPr>
              <w:spacing w:before="161" w:line="220" w:lineRule="auto"/>
              <w:ind w:left="724"/>
              <w:rPr>
                <w:rFonts w:ascii="仿宋_GB2312" w:eastAsia="仿宋_GB2312" w:hAnsi="仿宋_GB2312" w:cs="仿宋_GB2312"/>
                <w:spacing w:val="11"/>
                <w:sz w:val="32"/>
                <w:szCs w:val="32"/>
              </w:rPr>
            </w:pPr>
            <w:r w:rsidRPr="00B1364E">
              <w:rPr>
                <w:rFonts w:ascii="仿宋_GB2312" w:eastAsia="仿宋_GB2312" w:hAnsi="仿宋_GB2312" w:cs="仿宋_GB2312" w:hint="eastAsia"/>
                <w:spacing w:val="11"/>
                <w:sz w:val="32"/>
                <w:szCs w:val="32"/>
              </w:rPr>
              <w:t>惠安县</w:t>
            </w:r>
          </w:p>
        </w:tc>
        <w:tc>
          <w:tcPr>
            <w:tcW w:w="2367"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200</w:t>
            </w:r>
          </w:p>
        </w:tc>
        <w:tc>
          <w:tcPr>
            <w:tcW w:w="1298"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600</w:t>
            </w:r>
          </w:p>
        </w:tc>
        <w:tc>
          <w:tcPr>
            <w:tcW w:w="1249"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600</w:t>
            </w:r>
          </w:p>
        </w:tc>
        <w:tc>
          <w:tcPr>
            <w:tcW w:w="1259"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100</w:t>
            </w:r>
          </w:p>
        </w:tc>
        <w:tc>
          <w:tcPr>
            <w:tcW w:w="1134"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1500</w:t>
            </w:r>
          </w:p>
        </w:tc>
      </w:tr>
      <w:tr w:rsidR="001A29D0" w:rsidTr="00B1364E">
        <w:trPr>
          <w:trHeight w:val="639"/>
          <w:jc w:val="center"/>
        </w:trPr>
        <w:tc>
          <w:tcPr>
            <w:tcW w:w="2482" w:type="dxa"/>
            <w:tcBorders>
              <w:top w:val="single" w:sz="2" w:space="0" w:color="000000"/>
              <w:bottom w:val="single" w:sz="2" w:space="0" w:color="000000"/>
            </w:tcBorders>
          </w:tcPr>
          <w:p w:rsidR="001A29D0" w:rsidRPr="00B1364E" w:rsidRDefault="001A29D0" w:rsidP="00B1364E">
            <w:pPr>
              <w:spacing w:before="161" w:line="220" w:lineRule="auto"/>
              <w:ind w:left="724"/>
              <w:rPr>
                <w:rFonts w:ascii="仿宋_GB2312" w:eastAsia="仿宋_GB2312" w:hAnsi="仿宋_GB2312" w:cs="仿宋_GB2312"/>
                <w:spacing w:val="11"/>
                <w:sz w:val="32"/>
                <w:szCs w:val="32"/>
              </w:rPr>
            </w:pPr>
            <w:r w:rsidRPr="00B1364E">
              <w:rPr>
                <w:rFonts w:ascii="仿宋_GB2312" w:eastAsia="仿宋_GB2312" w:hAnsi="仿宋_GB2312" w:cs="仿宋_GB2312" w:hint="eastAsia"/>
                <w:spacing w:val="11"/>
                <w:sz w:val="32"/>
                <w:szCs w:val="32"/>
              </w:rPr>
              <w:t>德化县</w:t>
            </w:r>
          </w:p>
        </w:tc>
        <w:tc>
          <w:tcPr>
            <w:tcW w:w="2367"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500</w:t>
            </w:r>
          </w:p>
        </w:tc>
        <w:tc>
          <w:tcPr>
            <w:tcW w:w="1298"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450</w:t>
            </w:r>
          </w:p>
        </w:tc>
        <w:tc>
          <w:tcPr>
            <w:tcW w:w="1249"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450</w:t>
            </w:r>
          </w:p>
        </w:tc>
        <w:tc>
          <w:tcPr>
            <w:tcW w:w="1259"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100</w:t>
            </w:r>
          </w:p>
        </w:tc>
        <w:tc>
          <w:tcPr>
            <w:tcW w:w="1134" w:type="dxa"/>
            <w:tcBorders>
              <w:top w:val="single" w:sz="2" w:space="0" w:color="000000"/>
              <w:bottom w:val="single" w:sz="2" w:space="0" w:color="000000"/>
            </w:tcBorders>
            <w:vAlign w:val="center"/>
          </w:tcPr>
          <w:p w:rsidR="001A29D0" w:rsidRPr="00B1364E" w:rsidRDefault="001A29D0" w:rsidP="00B1364E">
            <w:pPr>
              <w:jc w:val="center"/>
              <w:rPr>
                <w:rFonts w:ascii="宋体" w:hAnsi="宋体" w:cs="宋体"/>
                <w:sz w:val="32"/>
                <w:szCs w:val="32"/>
              </w:rPr>
            </w:pPr>
            <w:r w:rsidRPr="00B1364E">
              <w:rPr>
                <w:rFonts w:ascii="宋体" w:hAnsi="宋体" w:cs="宋体"/>
                <w:sz w:val="32"/>
                <w:szCs w:val="32"/>
              </w:rPr>
              <w:t>1500</w:t>
            </w:r>
          </w:p>
        </w:tc>
      </w:tr>
    </w:tbl>
    <w:p w:rsidR="001A29D0" w:rsidRDefault="001A29D0">
      <w:pPr>
        <w:rPr>
          <w:rFonts w:ascii="仿宋_GB2312" w:eastAsia="仿宋_GB2312" w:hAnsi="仿宋_GB2312" w:cs="仿宋_GB2312"/>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市本级及市属国有企业建设的保租房按项目所在地计入属地目标任务数。</w:t>
      </w:r>
    </w:p>
    <w:p w:rsidR="001A29D0" w:rsidRDefault="001A29D0">
      <w:pPr>
        <w:rPr>
          <w:rFonts w:ascii="仿宋_GB2312" w:eastAsia="仿宋_GB2312" w:hAnsi="仿宋_GB2312" w:cs="仿宋_GB2312"/>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石狮市、晋江市、南安市、惠安县、德化县</w:t>
      </w:r>
      <w:r>
        <w:rPr>
          <w:rFonts w:ascii="仿宋_GB2312" w:eastAsia="仿宋_GB2312" w:hAnsi="仿宋_GB2312" w:cs="仿宋_GB2312"/>
          <w:sz w:val="32"/>
          <w:szCs w:val="32"/>
        </w:rPr>
        <w:t xml:space="preserve">2021 </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—2022</w:t>
      </w:r>
      <w:r>
        <w:rPr>
          <w:rFonts w:ascii="仿宋_GB2312" w:eastAsia="仿宋_GB2312" w:hAnsi="仿宋_GB2312" w:cs="仿宋_GB2312" w:hint="eastAsia"/>
          <w:sz w:val="32"/>
          <w:szCs w:val="32"/>
        </w:rPr>
        <w:t>年度保障性租赁住房任务纳入</w:t>
      </w:r>
      <w:r>
        <w:rPr>
          <w:rFonts w:ascii="仿宋_GB2312" w:eastAsia="仿宋_GB2312" w:hAnsi="仿宋_GB2312" w:cs="仿宋_GB2312"/>
          <w:sz w:val="32"/>
          <w:szCs w:val="32"/>
        </w:rPr>
        <w:t xml:space="preserve">2023 </w:t>
      </w:r>
      <w:r>
        <w:rPr>
          <w:rFonts w:ascii="仿宋_GB2312" w:eastAsia="仿宋_GB2312" w:hAnsi="仿宋_GB2312" w:cs="仿宋_GB2312" w:hint="eastAsia"/>
          <w:sz w:val="32"/>
          <w:szCs w:val="32"/>
        </w:rPr>
        <w:t>年度一并考核。</w:t>
      </w:r>
    </w:p>
    <w:p w:rsidR="001A29D0" w:rsidRDefault="001A29D0"/>
    <w:p w:rsidR="001A29D0" w:rsidRDefault="001A29D0"/>
    <w:p w:rsidR="001A29D0" w:rsidRDefault="001A29D0"/>
    <w:p w:rsidR="001A29D0" w:rsidRDefault="001A29D0"/>
    <w:p w:rsidR="001A29D0" w:rsidRDefault="001A29D0"/>
    <w:p w:rsidR="001A29D0" w:rsidRDefault="001A29D0">
      <w:pPr>
        <w:spacing w:line="750" w:lineRule="exact"/>
        <w:ind w:firstLine="5940"/>
        <w:textAlignment w:val="center"/>
      </w:pPr>
    </w:p>
    <w:sectPr w:rsidR="001A29D0" w:rsidSect="00ED7FD3">
      <w:footerReference w:type="default" r:id="rId7"/>
      <w:pgSz w:w="11900" w:h="16820"/>
      <w:pgMar w:top="1429" w:right="1490" w:bottom="400" w:left="1440" w:header="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29D0" w:rsidRDefault="001A29D0">
      <w:r>
        <w:separator/>
      </w:r>
    </w:p>
  </w:endnote>
  <w:endnote w:type="continuationSeparator" w:id="1">
    <w:p w:rsidR="001A29D0" w:rsidRDefault="001A29D0">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è?ˉé?…é?‘">
    <w:altName w:val="宋体"/>
    <w:panose1 w:val="00000000000000000000"/>
    <w:charset w:val="86"/>
    <w:family w:val="roman"/>
    <w:notTrueType/>
    <w:pitch w:val="default"/>
    <w:sig w:usb0="00000001" w:usb1="080E0000" w:usb2="00000010" w:usb3="00000000" w:csb0="00040000" w:csb1="00000000"/>
  </w:font>
  <w:font w:name="simsun">
    <w:altName w:val="es New Roman"/>
    <w:panose1 w:val="00000000000000000000"/>
    <w:charset w:val="00"/>
    <w:family w:val="roman"/>
    <w:notTrueType/>
    <w:pitch w:val="default"/>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黑体">
    <w:altName w:val="um"/>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D0" w:rsidRDefault="001A29D0">
    <w:pPr>
      <w:spacing w:line="369" w:lineRule="exact"/>
      <w:rPr>
        <w:rFonts w:ascii="仿宋" w:eastAsia="仿宋" w:hAnsi="仿宋" w:cs="仿宋"/>
        <w:sz w:val="28"/>
        <w:szCs w:val="28"/>
      </w:rPr>
    </w:pPr>
    <w:r>
      <w:rPr>
        <w:rFonts w:ascii="仿宋" w:eastAsia="仿宋" w:hAnsi="仿宋" w:cs="仿宋"/>
        <w:spacing w:val="-2"/>
        <w:position w:val="1"/>
        <w:sz w:val="28"/>
        <w:szCs w:val="28"/>
      </w:rPr>
      <w:t>-16-</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29D0" w:rsidRDefault="001A29D0">
    <w:pPr>
      <w:spacing w:line="14" w:lineRule="auto"/>
      <w:rPr>
        <w:sz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29D0" w:rsidRDefault="001A29D0">
      <w:r>
        <w:separator/>
      </w:r>
    </w:p>
  </w:footnote>
  <w:footnote w:type="continuationSeparator" w:id="1">
    <w:p w:rsidR="001A29D0" w:rsidRDefault="001A29D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efaultTabStop w:val="420"/>
  <w:characterSpacingControl w:val="doNotCompress"/>
  <w:noLineBreaksAfter w:lang="zh-CN" w:val="$([{£¥·‘“〈《「『【〔〖〝﹙﹛﹝＄（．［｛￡￥"/>
  <w:noLineBreaksBefore w:lang="zh-CN" w:val="!%),.:;&gt;?]}¢¨°·ˇˉ―‖’”…‰′″›℃∶、。〃〉》」』】〕〗〞︶︺︾﹀﹄﹚﹜﹞！＂％＇），．：；？］｀｜｝～￠"/>
  <w:footnotePr>
    <w:footnote w:id="0"/>
    <w:footnote w:id="1"/>
  </w:footnotePr>
  <w:endnotePr>
    <w:endnote w:id="0"/>
    <w:endnote w:id="1"/>
  </w:endnotePr>
  <w:compat>
    <w:spaceForUL/>
    <w:ulTrailSpac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mI0Y2IwMWQxYzhjZDU3NzhkYjEwMTRmMTg2OTY1N2IifQ=="/>
  </w:docVars>
  <w:rsids>
    <w:rsidRoot w:val="00ED7FD3"/>
    <w:rsid w:val="001A29D0"/>
    <w:rsid w:val="00827CAD"/>
    <w:rsid w:val="00AE61B5"/>
    <w:rsid w:val="00B1364E"/>
    <w:rsid w:val="00ED7FD3"/>
    <w:rsid w:val="082675F0"/>
    <w:rsid w:val="3A2031D2"/>
    <w:rsid w:val="5002086B"/>
    <w:rsid w:val="5BE676C9"/>
    <w:rsid w:val="6B324CD0"/>
    <w:rsid w:val="71BFA95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宋体" w:hAnsi="Arial" w:cs="Arial"/>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7FD3"/>
    <w:pPr>
      <w:kinsoku w:val="0"/>
      <w:autoSpaceDE w:val="0"/>
      <w:autoSpaceDN w:val="0"/>
      <w:adjustRightInd w:val="0"/>
      <w:snapToGrid w:val="0"/>
      <w:textAlignment w:val="baseline"/>
    </w:pPr>
    <w:rPr>
      <w:color w:val="000000"/>
      <w:kern w:val="0"/>
      <w:szCs w:val="21"/>
    </w:rPr>
  </w:style>
  <w:style w:type="paragraph" w:styleId="Heading1">
    <w:name w:val="heading 1"/>
    <w:basedOn w:val="Normal"/>
    <w:link w:val="Heading1Char"/>
    <w:uiPriority w:val="99"/>
    <w:qFormat/>
    <w:locked/>
    <w:rsid w:val="00827CAD"/>
    <w:pPr>
      <w:kinsoku/>
      <w:autoSpaceDE/>
      <w:autoSpaceDN/>
      <w:adjustRightInd/>
      <w:snapToGrid/>
      <w:spacing w:before="100" w:beforeAutospacing="1" w:after="100" w:afterAutospacing="1"/>
      <w:textAlignment w:val="auto"/>
      <w:outlineLvl w:val="0"/>
    </w:pPr>
    <w:rPr>
      <w:rFonts w:ascii="宋体" w:hAnsi="宋体" w:cs="宋体"/>
      <w:b/>
      <w:bCs/>
      <w:color w:val="auto"/>
      <w:kern w:val="36"/>
      <w:sz w:val="48"/>
      <w:szCs w:val="4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755F"/>
    <w:rPr>
      <w:b/>
      <w:bCs/>
      <w:color w:val="000000"/>
      <w:kern w:val="44"/>
      <w:sz w:val="44"/>
      <w:szCs w:val="44"/>
    </w:rPr>
  </w:style>
  <w:style w:type="table" w:customStyle="1" w:styleId="TableNormal1">
    <w:name w:val="Table Normal1"/>
    <w:uiPriority w:val="99"/>
    <w:semiHidden/>
    <w:rsid w:val="00ED7FD3"/>
    <w:rPr>
      <w:kern w:val="0"/>
      <w:sz w:val="20"/>
      <w:szCs w:val="20"/>
    </w:rPr>
    <w:tblPr>
      <w:tblCellMar>
        <w:top w:w="0" w:type="dxa"/>
        <w:left w:w="0" w:type="dxa"/>
        <w:bottom w:w="0" w:type="dxa"/>
        <w:right w:w="0" w:type="dxa"/>
      </w:tblCellMar>
    </w:tblPr>
  </w:style>
  <w:style w:type="paragraph" w:customStyle="1" w:styleId="b-free-read-leaf">
    <w:name w:val="b-free-read-leaf"/>
    <w:basedOn w:val="Normal"/>
    <w:uiPriority w:val="99"/>
    <w:rsid w:val="00827CAD"/>
    <w:pPr>
      <w:kinsoku/>
      <w:autoSpaceDE/>
      <w:autoSpaceDN/>
      <w:adjustRightInd/>
      <w:snapToGrid/>
      <w:spacing w:before="100" w:beforeAutospacing="1" w:after="100" w:afterAutospacing="1"/>
      <w:textAlignment w:val="auto"/>
    </w:pPr>
    <w:rPr>
      <w:rFonts w:ascii="宋体" w:hAnsi="宋体" w:cs="宋体"/>
      <w:color w:val="auto"/>
      <w:sz w:val="24"/>
      <w:szCs w:val="24"/>
    </w:rPr>
  </w:style>
  <w:style w:type="paragraph" w:styleId="NormalWeb">
    <w:name w:val="Normal (Web)"/>
    <w:basedOn w:val="Normal"/>
    <w:uiPriority w:val="99"/>
    <w:rsid w:val="00827CAD"/>
    <w:pPr>
      <w:kinsoku/>
      <w:autoSpaceDE/>
      <w:autoSpaceDN/>
      <w:adjustRightInd/>
      <w:snapToGrid/>
      <w:spacing w:before="100" w:beforeAutospacing="1" w:after="100" w:afterAutospacing="1"/>
      <w:textAlignment w:val="auto"/>
    </w:pPr>
    <w:rPr>
      <w:rFonts w:ascii="宋体" w:hAnsi="宋体" w:cs="宋体"/>
      <w:color w:val="auto"/>
      <w:sz w:val="24"/>
      <w:szCs w:val="24"/>
    </w:rPr>
  </w:style>
</w:styles>
</file>

<file path=word/webSettings.xml><?xml version="1.0" encoding="utf-8"?>
<w:webSettings xmlns:r="http://schemas.openxmlformats.org/officeDocument/2006/relationships" xmlns:w="http://schemas.openxmlformats.org/wordprocessingml/2006/main">
  <w:divs>
    <w:div w:id="224488547">
      <w:marLeft w:val="0"/>
      <w:marRight w:val="0"/>
      <w:marTop w:val="0"/>
      <w:marBottom w:val="0"/>
      <w:divBdr>
        <w:top w:val="none" w:sz="0" w:space="0" w:color="auto"/>
        <w:left w:val="none" w:sz="0" w:space="0" w:color="auto"/>
        <w:bottom w:val="none" w:sz="0" w:space="0" w:color="auto"/>
        <w:right w:val="none" w:sz="0" w:space="0" w:color="auto"/>
      </w:divBdr>
    </w:div>
    <w:div w:id="22448854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33</TotalTime>
  <Pages>11</Pages>
  <Words>1267</Words>
  <Characters>7228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pdfbuilder</dc:subject>
  <dc:creator>Kingsoft-PDF</dc:creator>
  <cp:keywords>630c2a131d1b0400158500ad</cp:keywords>
  <dc:description/>
  <cp:lastModifiedBy>市住房和城乡建设局</cp:lastModifiedBy>
  <cp:revision>2</cp:revision>
  <dcterms:created xsi:type="dcterms:W3CDTF">2022-08-29T18:53:00Z</dcterms:created>
  <dcterms:modified xsi:type="dcterms:W3CDTF">2024-02-26T09:19:00Z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KSOProductBuildVer">
    <vt:lpwstr>2052-12.1.0.15990</vt:lpwstr>
  </property>
  <property fmtid="{D5CDD505-2E9C-101B-9397-08002B2CF9AE}" pid="4" name="ICV">
    <vt:lpwstr>666B2BFF7F434D659714DCBBE39F5555_13</vt:lpwstr>
  </property>
</Properties>
</file>