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hAnsi="黑体" w:eastAsia="黑体"/>
          <w:kern w:val="0"/>
          <w:szCs w:val="32"/>
        </w:rPr>
      </w:pPr>
      <w:r>
        <w:rPr>
          <w:rFonts w:hAnsi="黑体" w:eastAsia="黑体"/>
          <w:kern w:val="0"/>
          <w:szCs w:val="32"/>
        </w:rPr>
        <w:t>附件</w:t>
      </w:r>
      <w:r>
        <w:rPr>
          <w:rFonts w:hint="eastAsia" w:hAnsi="黑体" w:eastAsia="黑体"/>
          <w:kern w:val="0"/>
          <w:szCs w:val="32"/>
        </w:rPr>
        <w:t>1</w:t>
      </w:r>
    </w:p>
    <w:p>
      <w:pPr>
        <w:adjustRightInd w:val="0"/>
        <w:snapToGrid w:val="0"/>
        <w:spacing w:line="400" w:lineRule="exact"/>
        <w:rPr>
          <w:rFonts w:eastAsia="黑体"/>
          <w:kern w:val="0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石狮市总医院2021年度综合目标绩效</w:t>
      </w:r>
    </w:p>
    <w:p>
      <w:pPr>
        <w:adjustRightInd w:val="0"/>
        <w:snapToGrid w:val="0"/>
        <w:spacing w:line="520" w:lineRule="exact"/>
        <w:jc w:val="center"/>
        <w:rPr>
          <w:rFonts w:hint="eastAsia"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考核指标（定性,占20%）</w:t>
      </w:r>
    </w:p>
    <w:p>
      <w:pPr>
        <w:adjustRightInd w:val="0"/>
        <w:snapToGrid w:val="0"/>
        <w:spacing w:line="520" w:lineRule="exact"/>
        <w:jc w:val="center"/>
        <w:rPr>
          <w:rFonts w:hint="eastAsia" w:ascii="方正小标宋简体" w:eastAsia="方正小标宋简体"/>
          <w:kern w:val="0"/>
          <w:sz w:val="44"/>
          <w:szCs w:val="44"/>
        </w:rPr>
      </w:pPr>
    </w:p>
    <w:tbl>
      <w:tblPr>
        <w:tblStyle w:val="3"/>
        <w:tblW w:w="930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3285"/>
        <w:gridCol w:w="630"/>
        <w:gridCol w:w="4561"/>
        <w:gridCol w:w="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65" w:hRule="atLeast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/>
                <w:b/>
                <w:bCs/>
                <w:kern w:val="0"/>
                <w:sz w:val="24"/>
              </w:rPr>
              <w:t>考核项目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/>
                <w:b/>
                <w:bCs/>
                <w:kern w:val="0"/>
                <w:sz w:val="24"/>
              </w:rPr>
              <w:t>分值</w:t>
            </w:r>
          </w:p>
        </w:tc>
        <w:tc>
          <w:tcPr>
            <w:tcW w:w="4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Ansi="宋体"/>
                <w:b/>
                <w:bCs/>
                <w:kern w:val="0"/>
                <w:sz w:val="24"/>
              </w:rPr>
              <w:t>考核方式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55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党风廉政建设工作落实情况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10</w:t>
            </w:r>
          </w:p>
        </w:tc>
        <w:tc>
          <w:tcPr>
            <w:tcW w:w="4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根据党风廉政建设和反腐败工作落实情况评价考核得分折算。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20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公共卫生任务落实情况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</w:t>
            </w:r>
          </w:p>
        </w:tc>
        <w:tc>
          <w:tcPr>
            <w:tcW w:w="4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根据</w:t>
            </w:r>
            <w:r>
              <w:rPr>
                <w:rFonts w:hAnsi="宋体"/>
                <w:kern w:val="0"/>
                <w:sz w:val="24"/>
              </w:rPr>
              <w:t>公共卫生责任状考评得分折算</w:t>
            </w:r>
            <w:r>
              <w:rPr>
                <w:rFonts w:hint="eastAsia" w:hAnsi="宋体"/>
                <w:kern w:val="0"/>
                <w:sz w:val="24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40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基本公共卫生工作落实情况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</w:t>
            </w:r>
          </w:p>
        </w:tc>
        <w:tc>
          <w:tcPr>
            <w:tcW w:w="4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根据泉州市基本公共卫生服务考评得分折算。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35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4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安全生产工作落实情况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4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根据</w:t>
            </w:r>
            <w:r>
              <w:rPr>
                <w:rFonts w:hAnsi="宋体"/>
                <w:kern w:val="0"/>
                <w:sz w:val="24"/>
              </w:rPr>
              <w:t>安全生产</w:t>
            </w:r>
            <w:r>
              <w:rPr>
                <w:rFonts w:hint="eastAsia" w:hAnsi="宋体"/>
                <w:kern w:val="0"/>
                <w:sz w:val="24"/>
              </w:rPr>
              <w:t>目标责任制</w:t>
            </w:r>
            <w:r>
              <w:rPr>
                <w:rFonts w:hAnsi="宋体"/>
                <w:kern w:val="0"/>
                <w:sz w:val="24"/>
              </w:rPr>
              <w:t>考评得分折算</w:t>
            </w:r>
            <w:r>
              <w:rPr>
                <w:rFonts w:hint="eastAsia" w:hAnsi="宋体"/>
                <w:kern w:val="0"/>
                <w:sz w:val="24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374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行政综合管理情况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4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Ansi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①</w:t>
            </w:r>
            <w:r>
              <w:rPr>
                <w:rFonts w:hint="eastAsia" w:hAnsi="宋体"/>
                <w:kern w:val="0"/>
                <w:sz w:val="24"/>
              </w:rPr>
              <w:t>社会综治工作（含扫黑除恶专项行动）落实情况，按有关考核得分折算（1分）；</w:t>
            </w:r>
          </w:p>
          <w:p>
            <w:pPr>
              <w:widowControl/>
              <w:jc w:val="left"/>
              <w:rPr>
                <w:rFonts w:hint="eastAsia"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②</w:t>
            </w:r>
            <w:r>
              <w:rPr>
                <w:rFonts w:hint="eastAsia" w:hAnsi="宋体"/>
                <w:kern w:val="0"/>
                <w:sz w:val="24"/>
              </w:rPr>
              <w:t>政府热线12345群众诉求（含信访）落实情况，按有关考核得分折算（1分）；</w:t>
            </w:r>
          </w:p>
          <w:p>
            <w:pPr>
              <w:widowControl/>
              <w:jc w:val="left"/>
              <w:rPr>
                <w:rFonts w:hint="eastAsia"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③</w:t>
            </w:r>
            <w:r>
              <w:rPr>
                <w:rFonts w:hint="eastAsia" w:hAnsi="宋体"/>
                <w:kern w:val="0"/>
                <w:sz w:val="24"/>
              </w:rPr>
              <w:t>保密工作落实情况，按有关考核得分折算（1分）；</w:t>
            </w:r>
          </w:p>
          <w:p>
            <w:pPr>
              <w:widowControl/>
              <w:jc w:val="left"/>
              <w:rPr>
                <w:rFonts w:hint="eastAsia"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④</w:t>
            </w:r>
            <w:r>
              <w:rPr>
                <w:rFonts w:hint="eastAsia" w:hAnsi="宋体"/>
                <w:kern w:val="0"/>
                <w:sz w:val="24"/>
              </w:rPr>
              <w:t>网络信息安全落实情况，按有关考核得分折算（1分）；</w:t>
            </w:r>
          </w:p>
          <w:p>
            <w:pPr>
              <w:widowControl/>
              <w:jc w:val="left"/>
              <w:rPr>
                <w:rFonts w:hint="eastAsia"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⑤</w:t>
            </w:r>
            <w:r>
              <w:rPr>
                <w:rFonts w:hint="eastAsia" w:hAnsi="宋体"/>
                <w:kern w:val="0"/>
                <w:sz w:val="24"/>
              </w:rPr>
              <w:t>完成对口支援、组建医疗队等任务情况，不按规定派遣人员或延迟任务完成时间的，每次扣0.5分，扣完为止（1分）。</w:t>
            </w:r>
          </w:p>
          <w:p>
            <w:pPr>
              <w:widowControl/>
              <w:jc w:val="left"/>
              <w:rPr>
                <w:rFonts w:hint="eastAsia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37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创建全国文明城市工作落实情况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4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按市创城工作考评及日常工作落实情况得分折算</w:t>
            </w:r>
            <w:r>
              <w:rPr>
                <w:rFonts w:hint="eastAsia" w:hAnsi="宋体"/>
                <w:kern w:val="0"/>
                <w:sz w:val="24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192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年度药品不良反应控制工作落实情况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4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按市市场监督管理局评价得分折算（建立药械不良反应报告和监测管理制度，配备专（兼）职监测人员；药品不良反应报告处置、分析、评价工作落实情况）。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910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8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干部管理情况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4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市总医院（含各分院）：是否按规定办理请销假手续和因私出国（境）审批、是否按规定做好国家工作人员备案、因私出国（境）证件管理；是否按规定做好社团兼职（含在职和离退休干部）和企业兼职清理、报批、备案等工作；是否按规定接种新冠疫苗和进行核酸检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832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9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</w:rPr>
              <w:t>全科医生队伍建设情况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highlight w:val="yellow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4562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市总医院（含各分院）是否按要求配备全科医生，安排人员参加全科医生规培或转岗。分数按照泉州市对我市政府绩效考核分数折算。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832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人才、编制工作落实情况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4562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市总医院（含各分院）是否按规定及时报送人才、编制工作相关材料。按泉州市人才目标责任制考核、市人才办评价得分折算（博士、客座专家、医疗卫生高层次人才团队等）。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32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11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szCs w:val="32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增强中医药治未病功能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4562" w:type="dxa"/>
            <w:gridSpan w:val="2"/>
            <w:noWrap w:val="0"/>
            <w:vAlign w:val="center"/>
          </w:tcPr>
          <w:p>
            <w:pPr>
              <w:widowControl/>
              <w:rPr>
                <w:rFonts w:hint="eastAsia"/>
                <w:szCs w:val="32"/>
              </w:rPr>
            </w:pPr>
            <w:r>
              <w:rPr>
                <w:rFonts w:hint="eastAsia" w:ascii="宋体" w:hAnsi="宋体"/>
                <w:sz w:val="24"/>
              </w:rPr>
              <w:t>未设置治未病科室，该项不得分。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12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Cs w:val="32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文秘工作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456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hAnsi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①</w:t>
            </w:r>
            <w:r>
              <w:rPr>
                <w:rFonts w:hint="eastAsia" w:hAnsi="宋体"/>
                <w:kern w:val="0"/>
                <w:sz w:val="24"/>
                <w:szCs w:val="24"/>
              </w:rPr>
              <w:t>按时参加上级部门召集的会议（2分）。未按通知要求落实参会人员且未履行请假手续的，每次扣0.5分，扣完为止。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szCs w:val="32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②</w:t>
            </w:r>
            <w:r>
              <w:rPr>
                <w:rFonts w:hint="eastAsia"/>
                <w:kern w:val="0"/>
                <w:sz w:val="24"/>
              </w:rPr>
              <w:t>按时报送相关材料（3分）。未按要求时限报送落实的，每次扣1分，扣完为止。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13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老年健康服务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456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推进老年友善型医疗机构建设，按照评价结果折算；是否按要求开展“老年健康周”、“敬老月”等活动并按时报送材料；是否落实计生特殊家庭成员就医绿色通道服务。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14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保障财务会计核算的真实准确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456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及时提供财务决算报表、成本报表、卫生统计报表等各类财务报表。未及时提供财务报表，每次扣1分；核算不准确，每次扣2分，扣完为止。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15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hAnsi="宋体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建立新冠肺炎疫情院感防控处置机制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456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hAnsi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①</w:t>
            </w:r>
            <w:r>
              <w:rPr>
                <w:rFonts w:hint="eastAsia" w:hAnsi="宋体"/>
                <w:kern w:val="0"/>
                <w:sz w:val="24"/>
                <w:szCs w:val="24"/>
              </w:rPr>
              <w:t>建立一把手负责制和定期研究机制，每月至少组织一次院感防控工作专题会（3分）：缺一项机制扣1分，少一次院感防控工作专题会议，扣0.2分，扣完为止。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hAnsi="宋体"/>
                <w:kern w:val="0"/>
                <w:sz w:val="24"/>
                <w:szCs w:val="24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②</w:t>
            </w:r>
            <w:r>
              <w:rPr>
                <w:rFonts w:hint="eastAsia" w:hAnsi="宋体"/>
                <w:kern w:val="0"/>
                <w:sz w:val="24"/>
                <w:szCs w:val="24"/>
              </w:rPr>
              <w:t>将院感工作纳入医院内部绩效分配体系，制定院感人员绩效薪酬制度，出台院内院感问责处理办法（2分）：缺一项制度扣1分。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hAnsi="宋体"/>
                <w:kern w:val="0"/>
                <w:sz w:val="24"/>
                <w:szCs w:val="24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③</w:t>
            </w:r>
            <w:r>
              <w:rPr>
                <w:rFonts w:hint="eastAsia" w:hAnsi="宋体"/>
                <w:kern w:val="0"/>
                <w:sz w:val="24"/>
                <w:szCs w:val="24"/>
              </w:rPr>
              <w:t>因不作为、慢作为导致发生重大疫情防控或院内感染隐患的，年度目标绩效直接定为基本合格。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hAnsi="宋体"/>
                <w:kern w:val="0"/>
                <w:sz w:val="24"/>
                <w:szCs w:val="24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④</w:t>
            </w:r>
            <w:r>
              <w:rPr>
                <w:rFonts w:hint="eastAsia" w:hAnsi="宋体"/>
                <w:kern w:val="0"/>
                <w:sz w:val="24"/>
                <w:szCs w:val="24"/>
              </w:rPr>
              <w:t>发生新冠肺炎院内感染的，实行“一票否决”。</w:t>
            </w:r>
          </w:p>
        </w:tc>
      </w:tr>
    </w:tbl>
    <w:p>
      <w:pPr>
        <w:adjustRightInd w:val="0"/>
        <w:snapToGrid w:val="0"/>
        <w:spacing w:line="520" w:lineRule="exact"/>
        <w:rPr>
          <w:szCs w:val="32"/>
        </w:rPr>
      </w:pPr>
    </w:p>
    <w:p>
      <w:pPr>
        <w:adjustRightInd w:val="0"/>
        <w:snapToGrid w:val="0"/>
        <w:spacing w:line="520" w:lineRule="exact"/>
        <w:rPr>
          <w:szCs w:val="32"/>
        </w:rPr>
      </w:pPr>
    </w:p>
    <w:p>
      <w:pPr>
        <w:adjustRightInd w:val="0"/>
        <w:snapToGrid w:val="0"/>
        <w:spacing w:line="520" w:lineRule="exact"/>
        <w:rPr>
          <w:szCs w:val="32"/>
        </w:rPr>
      </w:pPr>
    </w:p>
    <w:p>
      <w:pPr>
        <w:adjustRightInd w:val="0"/>
        <w:snapToGrid w:val="0"/>
        <w:spacing w:line="520" w:lineRule="exact"/>
        <w:rPr>
          <w:szCs w:val="32"/>
        </w:rPr>
        <w:sectPr>
          <w:footerReference r:id="rId3" w:type="default"/>
          <w:footerReference r:id="rId4" w:type="even"/>
          <w:pgSz w:w="11906" w:h="16838"/>
          <w:pgMar w:top="1928" w:right="1531" w:bottom="1814" w:left="1531" w:header="851" w:footer="1418" w:gutter="0"/>
          <w:cols w:space="720" w:num="1"/>
          <w:docGrid w:type="linesAndChars" w:linePitch="579" w:charSpace="-849"/>
        </w:sectPr>
      </w:pPr>
    </w:p>
    <w:p>
      <w:pPr>
        <w:adjustRightInd w:val="0"/>
        <w:snapToGrid w:val="0"/>
        <w:spacing w:line="700" w:lineRule="exact"/>
        <w:jc w:val="center"/>
        <w:rPr>
          <w:rFonts w:hint="eastAsia" w:ascii="方正小标宋简体" w:eastAsia="方正小标宋简体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石狮市总医院2021年度综合目标绩效考核指标（定量，占80%）</w:t>
      </w:r>
    </w:p>
    <w:tbl>
      <w:tblPr>
        <w:tblStyle w:val="3"/>
        <w:tblW w:w="14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755"/>
        <w:gridCol w:w="512"/>
        <w:gridCol w:w="2012"/>
        <w:gridCol w:w="558"/>
        <w:gridCol w:w="2117"/>
        <w:gridCol w:w="3811"/>
        <w:gridCol w:w="4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tblHeader/>
          <w:jc w:val="center"/>
        </w:trPr>
        <w:tc>
          <w:tcPr>
            <w:tcW w:w="106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4"/>
                <w:szCs w:val="24"/>
              </w:rPr>
              <w:t>维度</w:t>
            </w:r>
          </w:p>
        </w:tc>
        <w:tc>
          <w:tcPr>
            <w:tcW w:w="75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4"/>
                <w:szCs w:val="24"/>
              </w:rPr>
              <w:t>目标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4"/>
                <w:szCs w:val="24"/>
              </w:rPr>
              <w:t>指标值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4"/>
                <w:szCs w:val="24"/>
              </w:rPr>
              <w:t>指标计算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4"/>
                <w:szCs w:val="24"/>
              </w:rPr>
              <w:t>记分方法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7" w:hRule="atLeast"/>
          <w:jc w:val="center"/>
        </w:trPr>
        <w:tc>
          <w:tcPr>
            <w:tcW w:w="106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社会</w:t>
            </w:r>
          </w:p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满意</w:t>
            </w:r>
          </w:p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服务满意</w:t>
            </w:r>
          </w:p>
        </w:tc>
        <w:tc>
          <w:tcPr>
            <w:tcW w:w="512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12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满意度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患者满意度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省卫健委满意度调查；患者满意度=评价满意的被调查患者人数/调查总人数×100% （包括服务态度、服务环境、服务流程、服务质量和治理“红包”等方面）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与去年排名持平，得9分；每降低1名，扣0.2分，扣完为止；每前进1名，加0.5分，加满10分为止。进入10名以内，附加5分。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服务流程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hAnsi="宋体"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spacing w:val="-10"/>
                <w:kern w:val="0"/>
                <w:sz w:val="24"/>
                <w:szCs w:val="24"/>
              </w:rPr>
              <w:t>门诊患者平均预约诊疗率年增长率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＞0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本年度门诊患者平均预约诊疗率-上年度门诊患者平均预约诊疗率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门诊患者预约后平均等待时间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≤15分钟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门诊患者按预约时间到达医院后至进入诊室前的等待时间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诊间结算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509905</wp:posOffset>
                      </wp:positionH>
                      <wp:positionV relativeFrom="paragraph">
                        <wp:posOffset>228600</wp:posOffset>
                      </wp:positionV>
                      <wp:extent cx="219075" cy="133350"/>
                      <wp:effectExtent l="0" t="0" r="0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219075" cy="133350"/>
                              </a:xfrm>
                              <a:prstGeom prst="lin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40.15pt;margin-top:18pt;height:10.5pt;width:17.25pt;z-index:251660288;mso-width-relative:page;mso-height-relative:page;" filled="f" stroked="f" coordsize="21600,21600" o:gfxdata="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FWNkatcA&#10;AAAIAQAADwAAAAAAAAABACAAAAAiAAAAZHJzL2Rvd25yZXYueG1sUEsBAhQAFAAAAAgAh07iQJFX&#10;/fauAQAAPQMAAA4AAAAAAAAAAQAgAAAAJgEAAGRycy9lMm9Eb2MueG1sUEsFBgAAAAAGAAYAWQEA&#10;AEYFAAAAAA==&#10;">
                      <v:path arrowok="t"/>
                      <v:fill on="f" focussize="0,0"/>
                      <v:stroke on="f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实现诊间结算，并开通医保电子凭证扫码结算服务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实现诊间结算得1分，开通医保电子凭证码得1分。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费用适宜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每门急诊人次收费水平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年增长率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≤5%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本期门急诊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人次收费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水平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-上期门急诊人次收费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水平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）/上期门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急诊人次收费水平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达到标准，得满分；每超标准1%扣0.2分，扣完为止。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出院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患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者平均医药费用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年增长率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≤5</w:t>
            </w:r>
            <w:r>
              <w:rPr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本期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出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院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患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者平均医药费用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-上期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出院者平均医药费用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上期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出院者平均医药费用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达到</w:t>
            </w:r>
            <w:r>
              <w:rPr>
                <w:color w:val="000000"/>
                <w:kern w:val="0"/>
                <w:sz w:val="24"/>
                <w:szCs w:val="24"/>
              </w:rPr>
              <w:t>标准，得满分；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每</w:t>
            </w:r>
            <w:r>
              <w:rPr>
                <w:color w:val="000000"/>
                <w:kern w:val="0"/>
                <w:sz w:val="24"/>
                <w:szCs w:val="24"/>
              </w:rPr>
              <w:t>超标准1%扣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0.2分</w:t>
            </w:r>
            <w:r>
              <w:rPr>
                <w:color w:val="000000"/>
                <w:kern w:val="0"/>
                <w:sz w:val="24"/>
                <w:szCs w:val="24"/>
              </w:rPr>
              <w:t>，扣完为止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医疗费用增长率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＜10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（本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年度医疗收入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-上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一年度医疗收入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）/上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一年度医疗收入*100%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达到</w:t>
            </w:r>
            <w:r>
              <w:rPr>
                <w:color w:val="000000"/>
                <w:kern w:val="0"/>
                <w:sz w:val="24"/>
                <w:szCs w:val="24"/>
              </w:rPr>
              <w:t>标准，得满分；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每</w:t>
            </w:r>
            <w:r>
              <w:rPr>
                <w:color w:val="000000"/>
                <w:kern w:val="0"/>
                <w:sz w:val="24"/>
                <w:szCs w:val="24"/>
              </w:rPr>
              <w:t>超标准1%扣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0.2分</w:t>
            </w:r>
            <w:r>
              <w:rPr>
                <w:color w:val="000000"/>
                <w:kern w:val="0"/>
                <w:sz w:val="24"/>
                <w:szCs w:val="24"/>
              </w:rPr>
              <w:t>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药品改革</w:t>
            </w:r>
          </w:p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每门急诊人次药品费用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年增长率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≤</w:t>
            </w:r>
            <w:r>
              <w:rPr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本期门急诊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人次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药品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费用-上期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门急诊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人次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药品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费用）</w:t>
            </w:r>
            <w:r>
              <w:rPr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上期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门急诊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人次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药品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费用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（扣除中草药）*100%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达到</w:t>
            </w:r>
            <w:r>
              <w:rPr>
                <w:color w:val="000000"/>
                <w:kern w:val="0"/>
                <w:sz w:val="24"/>
                <w:szCs w:val="24"/>
              </w:rPr>
              <w:t>标准，得满分；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每</w:t>
            </w:r>
            <w:r>
              <w:rPr>
                <w:color w:val="000000"/>
                <w:kern w:val="0"/>
                <w:sz w:val="24"/>
                <w:szCs w:val="24"/>
              </w:rPr>
              <w:t>超标准1%扣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0.2分</w:t>
            </w:r>
            <w:r>
              <w:rPr>
                <w:color w:val="000000"/>
                <w:kern w:val="0"/>
                <w:sz w:val="24"/>
                <w:szCs w:val="24"/>
              </w:rPr>
              <w:t>，扣完为止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出院者平均药品费用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年增长率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≤</w:t>
            </w:r>
            <w:r>
              <w:rPr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本期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出院者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平均药品费用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-上期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出院者平均药品费用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上期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出院者平均药品费用（扣除中草药）*100%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达到</w:t>
            </w:r>
            <w:r>
              <w:rPr>
                <w:color w:val="000000"/>
                <w:kern w:val="0"/>
                <w:sz w:val="24"/>
                <w:szCs w:val="24"/>
              </w:rPr>
              <w:t>标准，得满分；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每</w:t>
            </w:r>
            <w:r>
              <w:rPr>
                <w:color w:val="000000"/>
                <w:kern w:val="0"/>
                <w:sz w:val="24"/>
                <w:szCs w:val="24"/>
              </w:rPr>
              <w:t>超标准1%扣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0.2分</w:t>
            </w:r>
            <w:r>
              <w:rPr>
                <w:color w:val="000000"/>
                <w:kern w:val="0"/>
                <w:sz w:val="24"/>
                <w:szCs w:val="24"/>
              </w:rPr>
              <w:t>，扣完为止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药品耗材收入占比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≤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39</w:t>
            </w:r>
            <w:r>
              <w:rPr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本期药品耗材收入</w:t>
            </w:r>
            <w:r>
              <w:rPr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本期医疗收入</w:t>
            </w:r>
            <w:r>
              <w:rPr>
                <w:color w:val="000000"/>
                <w:kern w:val="0"/>
                <w:sz w:val="24"/>
                <w:szCs w:val="24"/>
              </w:rPr>
              <w:t>*100%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（扣除中草药）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辅助性药物使用合理率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≥95%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市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卫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健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局医政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医改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股每季度委托第三方抽查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住院患者抗菌药物使用率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≤60%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本期出院患者使用抗菌药物总例数</w:t>
            </w:r>
            <w:r>
              <w:rPr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本期出院患者总例数*100%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门诊患者抗菌药物处方比例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≤20%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门诊抗菌药物处方数</w:t>
            </w:r>
            <w:r>
              <w:rPr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本期门诊处方量*100%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点评处方占总数的比例年增长率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＞0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本年度点评处方占总数的比例-上年度点评处方占总数的比例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2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抗菌药物使用强度（DDDs）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≤4</w:t>
            </w:r>
            <w:r>
              <w:rPr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DDDs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本年度住院患者抗菌药物消耗量（累计DDD数）/同期收治患者人天数*100。收治患者人天数=出院患者人次数*出院患者平均住院天数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7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门诊患者基本药物处方占比年增长率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＞0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本年度门诊患者基本药物处方占比-上年度门诊患者基本药物处方占比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住院患者基本药物处方占比年增长率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＞0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本年度住院患者基本药物处方占比-上年度住院患者基本药物处方占比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1" w:hRule="atLeast"/>
          <w:jc w:val="center"/>
        </w:trPr>
        <w:tc>
          <w:tcPr>
            <w:tcW w:w="106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管理</w:t>
            </w:r>
          </w:p>
          <w:p>
            <w:pPr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有效</w:t>
            </w:r>
          </w:p>
        </w:tc>
        <w:tc>
          <w:tcPr>
            <w:tcW w:w="75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功能定位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门诊人次数与出院人次数比年增长率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＜0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（本年度门诊人次数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与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出院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人次数比-上年度门诊人次数与出院人次数比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）/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上年度门诊人次数与出院人次数比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。注：门诊人次不含核酸检测愿检尽检人数。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1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下转患者人次数（门急诊、住院）年增长率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＞0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（本年度向基层分院下转患者人次数-上年度向基层分院下转患者人次数）/上年度向基层分院下转患者人次数*100%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0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出院患者手术占比年增长率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＞0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本年度出院患者手术占比-上年度出院患者手术占比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出院患者微创手术占比年增长率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＞0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本年度出院患者微创手术占比-上年度出院患者微创手术占比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出院患者三、四级手术比例年增长率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＞5%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本年度出院患者三、四级手术比例-上年度出院患者三、四级手术比例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医疗质量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医疗责任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根据医疗事故鉴定结果计分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根据经泉州市医学会、省医学会医疗事故本期鉴定结果（鉴定结论以最后一次结果为准）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发生主要责任以上医疗事故，实行一票否决；发生次要责任一次扣</w:t>
            </w:r>
            <w:r>
              <w:rPr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分，发生轻微责任一次扣</w:t>
            </w: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分，扣完为止；发生</w:t>
            </w:r>
            <w:r>
              <w:rPr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次以上全部扣除。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监督管理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根据有关法律法规及技术操作规范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行业主管部门监督执法过程中，发现违法违规行为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监督执法中，发生违法违规行为，直接立案查处一次扣</w:t>
            </w: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分；发生违规操作，下发整改通知书一次扣</w:t>
            </w:r>
            <w:r>
              <w:rPr>
                <w:color w:val="000000"/>
                <w:kern w:val="0"/>
                <w:sz w:val="24"/>
                <w:szCs w:val="24"/>
              </w:rPr>
              <w:t>0.5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分，扣完为止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行风建设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起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深入治理医疗服务不正之风和损害群众合法权益的行为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经查实院外购药、收受红包等问题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，每起扣1分，扣完为止。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大型医用设备检查阳性率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≥70</w:t>
            </w:r>
            <w:r>
              <w:rPr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大型医用设备检查阳性数/同期大型医用设备检查人次数*100%（健康体检不计入）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人力效率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护理岗位护士数占全院护士总数比例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0.8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≥95%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从事护理岗位的护理人员数</w:t>
            </w:r>
            <w:r>
              <w:rPr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全院护理人员总数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达到标准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，得满分；每低于标准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0.5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%，扣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0.2分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每百门急诊入院人数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≥4.8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入院人数</w:t>
            </w:r>
            <w:r>
              <w:rPr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门急诊人次</w:t>
            </w:r>
            <w:r>
              <w:rPr>
                <w:color w:val="000000"/>
                <w:kern w:val="0"/>
                <w:sz w:val="24"/>
                <w:szCs w:val="24"/>
              </w:rPr>
              <w:t>)*100</w:t>
            </w:r>
          </w:p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注：门急诊人次数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不含核酸检测愿检尽检人数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达到标准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，得满分；每低于标准1%，扣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分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成本效率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每百元检验收入试剂支出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较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年度下降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本期试剂费用支出</w:t>
            </w:r>
            <w:r>
              <w:rPr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检验费用收入</w:t>
            </w:r>
            <w:r>
              <w:rPr>
                <w:color w:val="000000"/>
                <w:kern w:val="0"/>
                <w:sz w:val="24"/>
                <w:szCs w:val="24"/>
              </w:rPr>
              <w:t>/100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（体检科检验费用按原值计算）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每百元医疗收入（不含药品收入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、核酸应检尽检耗材成本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）卫生耗材支出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≤25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元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卫生耗材费支出</w:t>
            </w:r>
            <w:r>
              <w:rPr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（医疗收入</w:t>
            </w:r>
            <w:r>
              <w:rPr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药品收入）</w:t>
            </w:r>
            <w:r>
              <w:rPr>
                <w:color w:val="000000"/>
                <w:kern w:val="0"/>
                <w:sz w:val="24"/>
                <w:szCs w:val="24"/>
              </w:rPr>
              <w:t>*100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达到标准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，得满分；每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超过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标准1%，扣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0.2分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专项</w:t>
            </w: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工作</w:t>
            </w:r>
          </w:p>
        </w:tc>
        <w:tc>
          <w:tcPr>
            <w:tcW w:w="75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医保年度考核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落实医保年度考核各项任务（包括医保总额打包工作）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根据石狮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医保分级下发年度考核方案做好各项落实工作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泉州市医保局石狮分局年度考核得分90分以上得满分；否则根据考核结果折算得分。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现代医院管理制度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落实现代医院管理制度各项任务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根据《泉州</w:t>
            </w:r>
            <w:r>
              <w:rPr>
                <w:color w:val="000000"/>
                <w:kern w:val="0"/>
                <w:sz w:val="24"/>
                <w:szCs w:val="24"/>
              </w:rPr>
              <w:t>卫健委等五部门关于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加快</w:t>
            </w:r>
            <w:r>
              <w:rPr>
                <w:color w:val="000000"/>
                <w:kern w:val="0"/>
                <w:sz w:val="24"/>
                <w:szCs w:val="24"/>
              </w:rPr>
              <w:t>推进现代医院管理制度建设的通知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》（泉卫</w:t>
            </w:r>
            <w:r>
              <w:rPr>
                <w:color w:val="000000"/>
                <w:kern w:val="0"/>
                <w:sz w:val="24"/>
                <w:szCs w:val="24"/>
              </w:rPr>
              <w:t>医政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〔</w:t>
            </w:r>
            <w:r>
              <w:rPr>
                <w:color w:val="000000"/>
                <w:kern w:val="0"/>
                <w:sz w:val="24"/>
                <w:szCs w:val="24"/>
              </w:rPr>
              <w:t>2019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〕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69号</w:t>
            </w:r>
            <w:r>
              <w:rPr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文件做好各项落实工作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根据现代医院管理制度任务进度表考核结果折算得分。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紧密型医共体建设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基层医疗卫生机构诊疗量占比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≥65%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基层医疗机构当年度诊疗量/医疗机构诊疗总量*100%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达到标准得满分，以65%为基准值，每低1%，扣0.3分，扣完为止。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市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妇幼保健院医共体建设情况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100</w:t>
            </w:r>
            <w:r>
              <w:rPr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市总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医院根据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《石狮市推进紧密型医共体建设实施方案》（狮委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〔201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〕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88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号）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推进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市妇幼保健院业务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融合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发展。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市妇幼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保健院考核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85分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以上，得满分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；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否则根据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市妇幼保健院年度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考核结果折算得分。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9家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基层分院医共体建设情况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100</w:t>
            </w:r>
            <w:r>
              <w:rPr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市总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医院根据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《石狮市推进紧密型医共体建设实施方案》（狮委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〔201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〕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88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号）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推进9家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基层分院业务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提升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发展。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9家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基层分院考核总得分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800分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以上，得满分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；否则根据9家基层分院年度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考核结果折算得分。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信息化建设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福建省检查检验结果互认项目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检查检验结果在医共体成员单位之间可实现互联互通互认，实时查阅和共享得满分，一项未完成扣0.5分，扣完为止。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六大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诊断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中心基层辐射率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≥85%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本年度六大诊断中心为基层出具的报告总数/本年度六大诊断中心出具的报告总数*100%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达到标准得满分，以85%为基准值，每低1%，扣0.2分，扣完为止。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“六个一体化”管理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根据《泉州市紧密型县域医共体“六个一体化”管理内容清单30条》要求推进工作落实。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30条内容清单全部完成得满分，一条未完成，扣0.2分，扣完为止。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基层发热诊室建设情况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≥5家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根据泉州市卫健委要求完成标准化建设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达到标准得满分，每少一家扣0.5分，扣完为止。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基层医疗卫生机构服务能力达标率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≥60%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达到基本标准的基层医疗机构数/9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达到标准得满分，未达到标准的按实际结果折算得分。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医改监测项目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按病种付费的出院患者数量占比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≥51%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当年度按病种付费的出院人数/当年度总出院人数*100%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达到标准得满分，以50%为基准值，每低1%，扣0.4分，扣完为止。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实施临床路径管理出院患者数量占比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≥65%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当年度实施临床路径管理的出院人数/当年度总出院人数*100%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医保参保人员县域内住院量占比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2.2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≥80%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参保人员县域内住院人次/参保人员住院总人次*100%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与上年值持平或增长得1分，每增加一个百分点加0.3分，最高2.2分；较上年下降不得分。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县域内就诊率增长率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≥5%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本年度县域内就诊率-上年度县域内就诊率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平均住院日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≤7天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平均住院天数=出院者占用总床日/出院人数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医务性收入占比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≥35%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（医疗收入-医技检查收入-化验检验收入-药品收入-卫生耗材收入）/医疗收入*100%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达到指标值，得2.2分。以35%为基准值，每低1%扣0.2分，扣完为止；每增1%加0.2分，最高分2分。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资产</w:t>
            </w:r>
          </w:p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运营</w:t>
            </w:r>
          </w:p>
        </w:tc>
        <w:tc>
          <w:tcPr>
            <w:tcW w:w="75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资产效率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每百元固定资产医疗收入（不含药品收入）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≥110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元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（医疗收入</w:t>
            </w:r>
            <w:r>
              <w:rPr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药品收入）</w:t>
            </w:r>
            <w:r>
              <w:rPr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固定资产净值</w:t>
            </w:r>
            <w:r>
              <w:rPr>
                <w:color w:val="000000"/>
                <w:kern w:val="0"/>
                <w:sz w:val="24"/>
                <w:szCs w:val="24"/>
              </w:rPr>
              <w:t>*100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每低于标准</w:t>
            </w: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个百分点扣</w:t>
            </w:r>
            <w:r>
              <w:rPr>
                <w:color w:val="000000"/>
                <w:kern w:val="0"/>
                <w:sz w:val="24"/>
                <w:szCs w:val="24"/>
              </w:rPr>
              <w:t>0.2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分，扣完为止。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职工</w:t>
            </w:r>
          </w:p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认可</w:t>
            </w:r>
          </w:p>
        </w:tc>
        <w:tc>
          <w:tcPr>
            <w:tcW w:w="75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职工认可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人员经费支出比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≥34%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本期人员费用支出</w:t>
            </w:r>
            <w:r>
              <w:rPr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本期总支出</w:t>
            </w:r>
            <w:r>
              <w:rPr>
                <w:color w:val="000000"/>
                <w:kern w:val="0"/>
                <w:sz w:val="24"/>
                <w:szCs w:val="24"/>
              </w:rPr>
              <w:t>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达到标准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，得满分；每低于标准1%，扣</w:t>
            </w: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0.2分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发展</w:t>
            </w:r>
          </w:p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持续</w:t>
            </w:r>
          </w:p>
        </w:tc>
        <w:tc>
          <w:tcPr>
            <w:tcW w:w="75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专科建设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日间手术量增长率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≥10%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（本年度日间手术量-上年度日间手术量）/上年度日间手术量*100%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二级分科建设（甲乳胸外科、肿瘤内科、血液科、感染科、眼科、耳鼻咽喉科）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全部完成二级分科建设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胸痛中心建设情况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通过2021年第四批胸痛中心认证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人员素质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医生队伍中研究生学历或硕士学位指数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≥13%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研究生以上学历或硕士以上学位执业医师数</w:t>
            </w:r>
            <w:r>
              <w:rPr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医院执业医师总数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技术提升</w:t>
            </w:r>
          </w:p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与省、泉州市级重点专科合作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≥6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设立</w:t>
            </w:r>
            <w:r>
              <w:rPr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个专科提升工程，保持三年，查看合作文件，现场核查合作情况</w:t>
            </w:r>
            <w:r>
              <w:rPr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坐诊、查房等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开展新技术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≥40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查看开展新技术详细病例列表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医院接受基层分院进修并返回原单位独立工作人数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≥9人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接受基层分院进修半年及以上并返回原单位工作人数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医院住院医师首次参加医师资格考试通过率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≥97%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  <w:szCs w:val="24"/>
              </w:rPr>
              <w:t>本年度首次参加医师资格考试并通过的住院医师人数/同期首次参加医师资格考试的住院医师总人数*100%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科研水平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每百名卫技人员核心期刊论文数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≥3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篇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发表核心期刊论文数</w:t>
            </w:r>
            <w:r>
              <w:rPr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卫技人员总数</w:t>
            </w:r>
            <w:r>
              <w:rPr>
                <w:color w:val="000000"/>
                <w:kern w:val="0"/>
                <w:sz w:val="24"/>
                <w:szCs w:val="24"/>
              </w:rPr>
              <w:t>/100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未达到标准，该项不得分。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附加项</w:t>
            </w:r>
          </w:p>
        </w:tc>
        <w:tc>
          <w:tcPr>
            <w:tcW w:w="75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附加项</w:t>
            </w: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获得省（厅）级、地市级科研立项或奖励数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每获</w:t>
            </w: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项地市级以上科研立项或奖励加</w:t>
            </w: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分；最高</w:t>
            </w:r>
            <w:r>
              <w:rPr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106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0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医学人才引进数量</w:t>
            </w:r>
          </w:p>
        </w:tc>
        <w:tc>
          <w:tcPr>
            <w:tcW w:w="55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11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8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401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每引进</w:t>
            </w: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名副高以上高级人才或学科带头人或具有博士学历加</w:t>
            </w:r>
            <w:r>
              <w:rPr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分，最高加</w:t>
            </w:r>
            <w:r>
              <w:rPr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分。</w:t>
            </w:r>
          </w:p>
        </w:tc>
      </w:tr>
    </w:tbl>
    <w:p>
      <w:pPr>
        <w:spacing w:line="20" w:lineRule="exact"/>
        <w:rPr>
          <w:color w:val="000000"/>
        </w:rPr>
      </w:pPr>
    </w:p>
    <w:p>
      <w:pPr>
        <w:adjustRightInd w:val="0"/>
        <w:snapToGrid w:val="0"/>
        <w:spacing w:line="520" w:lineRule="exact"/>
        <w:rPr>
          <w:rFonts w:hint="eastAsia" w:ascii="宋体" w:hAnsi="宋体" w:eastAsia="宋体" w:cs="宋体"/>
          <w:b/>
          <w:bCs/>
          <w:color w:val="000000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</w:rPr>
        <w:t>注：1.所有加分项合计加分不得超过5分。2.数据采集时间与财务报表同期，其他为2021年1月1日-2021年12月31日。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right" w:pos="8820"/>
        <w:tab w:val="clear" w:pos="8306"/>
      </w:tabs>
      <w:ind w:left="320" w:leftChars="100" w:right="320" w:rightChars="100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5"/>
        <w:sz w:val="28"/>
        <w:szCs w:val="28"/>
      </w:rPr>
      <w:t>AG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rFonts w:hint="eastAsia" w:ascii="仿宋_GB2312" w:hAnsi="华文仿宋"/>
        <w:szCs w:val="32"/>
      </w:rPr>
      <w:t xml:space="preserve"> 号</w:t>
    </w:r>
  </w:p>
  <w:p/>
  <w:p>
    <w:pPr>
      <w:jc w:val="center"/>
      <w:rPr>
        <w:sz w:val="34"/>
        <w:szCs w:val="34"/>
      </w:rPr>
    </w:pPr>
  </w:p>
  <w:p/>
  <w:p>
    <w:pPr>
      <w:jc w:val="center"/>
      <w:rPr>
        <w:sz w:val="34"/>
        <w:szCs w:val="34"/>
      </w:rPr>
    </w:pPr>
  </w:p>
  <w:p/>
  <w:p/>
  <w:p/>
  <w:p>
    <w:pPr>
      <w:pStyle w:val="2"/>
      <w:tabs>
        <w:tab w:val="right" w:pos="8820"/>
        <w:tab w:val="clear" w:pos="8306"/>
      </w:tabs>
      <w:ind w:left="320" w:leftChars="100" w:right="320" w:rightChars="100"/>
      <w:jc w:val="right"/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Style w:val="5"/>
        <w:sz w:val="28"/>
        <w:szCs w:val="28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25B66"/>
    <w:rsid w:val="2BE11B17"/>
    <w:rsid w:val="4E325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2022-03-02T02:56:00Z</dcterms:created>
  <dc:creator>蔡琦琳</dc:creator>
  <cp:lastModifiedBy>蔡琦琳</cp:lastModifiedBy>
  <dcterms:modified xsi:type="dcterms:W3CDTF">2022-03-02T02:58:56Z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8B70E437986B445C8441B556C0BAB5F6</vt:lpwstr>
  </property>
</Properties>
</file>